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5E6A" w14:textId="77777777" w:rsidR="00412511" w:rsidRPr="00CE163C" w:rsidRDefault="00465309" w:rsidP="00A62CD6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CE163C">
        <w:rPr>
          <w:rFonts w:ascii="Arial" w:hAnsi="Arial" w:cs="Arial"/>
          <w:b/>
          <w:bCs/>
          <w:color w:val="000000"/>
        </w:rPr>
        <w:t xml:space="preserve">Role </w:t>
      </w:r>
      <w:r w:rsidR="004E0BE5">
        <w:rPr>
          <w:rFonts w:ascii="Arial" w:hAnsi="Arial" w:cs="Arial"/>
          <w:b/>
          <w:bCs/>
          <w:color w:val="000000"/>
        </w:rPr>
        <w:t>Description</w:t>
      </w:r>
    </w:p>
    <w:p w14:paraId="672A6659" w14:textId="77777777" w:rsidR="00A62CD6" w:rsidRPr="00CE163C" w:rsidRDefault="004E0BE5" w:rsidP="004E0BE5">
      <w:pPr>
        <w:tabs>
          <w:tab w:val="left" w:pos="637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37501D" w14:textId="77777777" w:rsidR="008C359E" w:rsidRPr="00CE163C" w:rsidRDefault="008C359E" w:rsidP="00A62CD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7336"/>
      </w:tblGrid>
      <w:tr w:rsidR="00C73D35" w:rsidRPr="00CE163C" w14:paraId="7ACA3683" w14:textId="77777777" w:rsidTr="004F7CF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911" w14:textId="77777777" w:rsidR="00C73D35" w:rsidRPr="00CE163C" w:rsidRDefault="00C73D35" w:rsidP="003934AA">
            <w:pPr>
              <w:spacing w:after="0" w:line="240" w:lineRule="auto"/>
              <w:rPr>
                <w:rFonts w:ascii="Arial" w:hAnsi="Arial" w:cs="Arial"/>
              </w:rPr>
            </w:pPr>
            <w:r w:rsidRPr="00CE163C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3A4" w14:textId="67E78C83" w:rsidR="00C73D35" w:rsidRPr="00CE163C" w:rsidRDefault="4A2E450B" w:rsidP="003934AA">
            <w:pPr>
              <w:spacing w:after="0" w:line="240" w:lineRule="auto"/>
              <w:rPr>
                <w:rFonts w:ascii="Arial" w:hAnsi="Arial" w:cs="Arial"/>
              </w:rPr>
            </w:pPr>
            <w:r w:rsidRPr="004F7CFA">
              <w:rPr>
                <w:rFonts w:ascii="Arial" w:hAnsi="Arial" w:cs="Arial"/>
              </w:rPr>
              <w:t>Senior Project Worker</w:t>
            </w:r>
          </w:p>
        </w:tc>
      </w:tr>
      <w:tr w:rsidR="00340E34" w:rsidRPr="00CE163C" w14:paraId="1B175E13" w14:textId="77777777" w:rsidTr="004F7CF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1BF" w14:textId="77777777" w:rsidR="00340E34" w:rsidRPr="00CE163C" w:rsidRDefault="00340E34" w:rsidP="003934A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163C">
              <w:rPr>
                <w:rFonts w:ascii="Arial" w:hAnsi="Arial" w:cs="Arial"/>
                <w:b/>
                <w:bCs/>
              </w:rPr>
              <w:t>Sector/Function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D13" w14:textId="41A3436F" w:rsidR="00340E34" w:rsidRPr="00CE163C" w:rsidRDefault="48536DD6" w:rsidP="003934AA">
            <w:pPr>
              <w:spacing w:after="0" w:line="240" w:lineRule="auto"/>
              <w:rPr>
                <w:rFonts w:ascii="Arial" w:hAnsi="Arial" w:cs="Arial"/>
              </w:rPr>
            </w:pPr>
            <w:r w:rsidRPr="004F7CFA">
              <w:rPr>
                <w:rFonts w:ascii="Arial" w:hAnsi="Arial" w:cs="Arial"/>
              </w:rPr>
              <w:t>M</w:t>
            </w:r>
            <w:r w:rsidR="009E6484">
              <w:rPr>
                <w:rFonts w:ascii="Arial" w:hAnsi="Arial" w:cs="Arial"/>
              </w:rPr>
              <w:t>ental Health</w:t>
            </w:r>
          </w:p>
        </w:tc>
      </w:tr>
      <w:tr w:rsidR="00C73D35" w:rsidRPr="00CE163C" w14:paraId="707FC55A" w14:textId="77777777" w:rsidTr="004F7CF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7DF" w14:textId="77777777" w:rsidR="00C73D35" w:rsidRPr="00CE163C" w:rsidRDefault="00C73D35" w:rsidP="003934A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163C">
              <w:rPr>
                <w:rFonts w:ascii="Arial" w:hAnsi="Arial" w:cs="Arial"/>
                <w:b/>
                <w:bCs/>
              </w:rPr>
              <w:t>Department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F69" w14:textId="45C333D0" w:rsidR="00C73D35" w:rsidRPr="00CE163C" w:rsidRDefault="0322C9A0" w:rsidP="003934AA">
            <w:pPr>
              <w:spacing w:after="0" w:line="240" w:lineRule="auto"/>
              <w:rPr>
                <w:rFonts w:ascii="Arial" w:hAnsi="Arial" w:cs="Arial"/>
              </w:rPr>
            </w:pPr>
            <w:r w:rsidRPr="004F7CFA">
              <w:rPr>
                <w:rFonts w:ascii="Arial" w:hAnsi="Arial" w:cs="Arial"/>
              </w:rPr>
              <w:t>Beacon Lodge</w:t>
            </w:r>
          </w:p>
        </w:tc>
      </w:tr>
      <w:tr w:rsidR="00C73D35" w:rsidRPr="00CE163C" w14:paraId="301704BE" w14:textId="77777777" w:rsidTr="004F7CF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61D" w14:textId="77777777" w:rsidR="00C73D35" w:rsidRPr="00CE163C" w:rsidRDefault="00C73D35" w:rsidP="003934A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163C">
              <w:rPr>
                <w:rFonts w:ascii="Arial" w:hAnsi="Arial" w:cs="Arial"/>
                <w:b/>
                <w:bCs/>
              </w:rPr>
              <w:t>Reports to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4D7" w14:textId="09884BB6" w:rsidR="00C73D35" w:rsidRPr="00CE163C" w:rsidRDefault="7B610052" w:rsidP="003934AA">
            <w:pPr>
              <w:spacing w:after="0" w:line="240" w:lineRule="auto"/>
              <w:rPr>
                <w:rFonts w:ascii="Arial" w:hAnsi="Arial" w:cs="Arial"/>
              </w:rPr>
            </w:pPr>
            <w:r w:rsidRPr="004F7CFA">
              <w:rPr>
                <w:rFonts w:ascii="Arial" w:hAnsi="Arial" w:cs="Arial"/>
              </w:rPr>
              <w:t>Service Manager</w:t>
            </w:r>
          </w:p>
        </w:tc>
      </w:tr>
      <w:tr w:rsidR="00C73D35" w:rsidRPr="00CE163C" w14:paraId="5DAB6C7B" w14:textId="77777777" w:rsidTr="004F7CFA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378F" w14:textId="77777777" w:rsidR="00C73D35" w:rsidRPr="00CE163C" w:rsidRDefault="00C73D35" w:rsidP="003934A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5A809" w14:textId="77777777" w:rsidR="00C73D35" w:rsidRPr="00CE163C" w:rsidRDefault="00C73D35" w:rsidP="003934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3D35" w:rsidRPr="00C12936" w14:paraId="73CF52C6" w14:textId="77777777" w:rsidTr="0079363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1AB" w14:textId="7FB48828" w:rsidR="00C73D35" w:rsidRPr="00C12936" w:rsidRDefault="00F72163" w:rsidP="003934A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Role </w:t>
            </w:r>
            <w:r w:rsidR="00C73D35"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purpose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0BE" w14:textId="19408424" w:rsidR="009E6484" w:rsidRPr="00C12936" w:rsidRDefault="000338E9" w:rsidP="003934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To support the Service Manager to deliver high quality person-centred services in line with the business plan</w:t>
            </w:r>
            <w:r w:rsidR="00D03BE0" w:rsidRPr="00C12936">
              <w:rPr>
                <w:rFonts w:ascii="Arial" w:hAnsi="Arial" w:cs="Arial"/>
                <w:sz w:val="16"/>
                <w:szCs w:val="16"/>
              </w:rPr>
              <w:t xml:space="preserve"> and service specification.</w:t>
            </w:r>
            <w:r w:rsidRPr="00C12936">
              <w:rPr>
                <w:rFonts w:ascii="Arial" w:hAnsi="Arial" w:cs="Arial"/>
                <w:sz w:val="16"/>
                <w:szCs w:val="16"/>
              </w:rPr>
              <w:t xml:space="preserve"> To support and guide the </w:t>
            </w:r>
            <w:r w:rsidR="00E4349C" w:rsidRPr="00C12936">
              <w:rPr>
                <w:rFonts w:ascii="Arial" w:hAnsi="Arial" w:cs="Arial"/>
                <w:sz w:val="16"/>
                <w:szCs w:val="16"/>
              </w:rPr>
              <w:t>t</w:t>
            </w:r>
            <w:r w:rsidRPr="00C12936">
              <w:rPr>
                <w:rFonts w:ascii="Arial" w:hAnsi="Arial" w:cs="Arial"/>
                <w:sz w:val="16"/>
                <w:szCs w:val="16"/>
              </w:rPr>
              <w:t>eam</w:t>
            </w:r>
            <w:r w:rsidR="00D03BE0" w:rsidRPr="00C12936">
              <w:rPr>
                <w:rFonts w:ascii="Arial" w:hAnsi="Arial" w:cs="Arial"/>
                <w:sz w:val="16"/>
                <w:szCs w:val="16"/>
              </w:rPr>
              <w:t>,</w:t>
            </w:r>
            <w:r w:rsidRPr="00C129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3BE0" w:rsidRPr="00C12936">
              <w:rPr>
                <w:rFonts w:ascii="Arial" w:hAnsi="Arial" w:cs="Arial"/>
                <w:sz w:val="16"/>
                <w:szCs w:val="16"/>
              </w:rPr>
              <w:t>and as part of the team delivering exceptional services supporting those with mental health needs.   Our support should enable</w:t>
            </w:r>
            <w:r w:rsidR="006F29BD" w:rsidRPr="00C12936">
              <w:rPr>
                <w:rFonts w:ascii="Arial" w:hAnsi="Arial" w:cs="Arial"/>
                <w:sz w:val="16"/>
                <w:szCs w:val="16"/>
              </w:rPr>
              <w:t xml:space="preserve"> with individual needs to improve their lives within the communit</w:t>
            </w:r>
            <w:r w:rsidR="00D03BE0" w:rsidRPr="00C12936">
              <w:rPr>
                <w:rFonts w:ascii="Arial" w:hAnsi="Arial" w:cs="Arial"/>
                <w:sz w:val="16"/>
                <w:szCs w:val="16"/>
              </w:rPr>
              <w:t>y through</w:t>
            </w:r>
            <w:r w:rsidR="006F29BD" w:rsidRPr="00C12936">
              <w:rPr>
                <w:rFonts w:ascii="Arial" w:hAnsi="Arial" w:cs="Arial"/>
                <w:sz w:val="16"/>
                <w:szCs w:val="16"/>
              </w:rPr>
              <w:t xml:space="preserve"> promot</w:t>
            </w:r>
            <w:r w:rsidR="00D03BE0" w:rsidRPr="00C12936">
              <w:rPr>
                <w:rFonts w:ascii="Arial" w:hAnsi="Arial" w:cs="Arial"/>
                <w:sz w:val="16"/>
                <w:szCs w:val="16"/>
              </w:rPr>
              <w:t>ing</w:t>
            </w:r>
            <w:r w:rsidR="006F29BD" w:rsidRPr="00C12936">
              <w:rPr>
                <w:rFonts w:ascii="Arial" w:hAnsi="Arial" w:cs="Arial"/>
                <w:sz w:val="16"/>
                <w:szCs w:val="16"/>
              </w:rPr>
              <w:t xml:space="preserve"> independence, wellbeing and health</w:t>
            </w:r>
            <w:r w:rsidR="00D03BE0" w:rsidRPr="00C12936">
              <w:rPr>
                <w:rFonts w:ascii="Arial" w:hAnsi="Arial" w:cs="Arial"/>
                <w:sz w:val="16"/>
                <w:szCs w:val="16"/>
              </w:rPr>
              <w:t>y</w:t>
            </w:r>
            <w:r w:rsidR="006F29BD" w:rsidRPr="00C12936">
              <w:rPr>
                <w:rFonts w:ascii="Arial" w:hAnsi="Arial" w:cs="Arial"/>
                <w:sz w:val="16"/>
                <w:szCs w:val="16"/>
              </w:rPr>
              <w:t xml:space="preserve"> life choices.</w:t>
            </w:r>
            <w:r w:rsidR="009E6484" w:rsidRPr="00C1293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CF154E" w14:textId="77777777" w:rsidR="009E6484" w:rsidRPr="00C12936" w:rsidRDefault="009E6484" w:rsidP="003934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F9604F4" w14:textId="7EBAB100" w:rsidR="00FA4555" w:rsidRPr="00C12936" w:rsidRDefault="009E6484" w:rsidP="003934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To be accountable for the delivery of the annual business plan agreed for the Service and to ensure that Turning Point values are embedded within the service.</w:t>
            </w:r>
          </w:p>
          <w:p w14:paraId="567EED6E" w14:textId="0FF5B10D" w:rsidR="000338E9" w:rsidRPr="00C12936" w:rsidRDefault="000338E9" w:rsidP="003934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484" w:rsidRPr="00C12936" w14:paraId="37E4A250" w14:textId="77777777" w:rsidTr="009E648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EE2" w14:textId="19DFC599" w:rsidR="009E6484" w:rsidRPr="00C12936" w:rsidRDefault="009E6484" w:rsidP="001C512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Key Accountabilities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819" w14:textId="10667F87" w:rsidR="009E6484" w:rsidRPr="00C12936" w:rsidRDefault="009E6484" w:rsidP="009E6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Key Activities/Decision Areas</w:t>
            </w:r>
          </w:p>
        </w:tc>
      </w:tr>
      <w:tr w:rsidR="00793633" w:rsidRPr="00C12936" w14:paraId="5B53BB45" w14:textId="77777777" w:rsidTr="00413DB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65E" w14:textId="2021528E" w:rsidR="00793633" w:rsidRPr="00C12936" w:rsidRDefault="009E6484" w:rsidP="009E64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Operational Management, service delivery and quality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2B3" w14:textId="2F5EF010" w:rsidR="00793633" w:rsidRPr="00C12936" w:rsidRDefault="009E6484" w:rsidP="007936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To be responsible for the management of the team, service delivery level and quality by:</w:t>
            </w:r>
          </w:p>
          <w:p w14:paraId="4B68E28D" w14:textId="7BA279F8" w:rsidR="0077578F" w:rsidRPr="00C12936" w:rsidRDefault="009E6484" w:rsidP="007757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growth is undertaken in a needs-led and planned way</w:t>
            </w:r>
          </w:p>
          <w:p w14:paraId="232E16C2" w14:textId="1124BA09" w:rsidR="009E6484" w:rsidRPr="00C12936" w:rsidRDefault="009E6484" w:rsidP="007757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Maintaining required quality standards of service delivery</w:t>
            </w:r>
          </w:p>
          <w:p w14:paraId="4901B838" w14:textId="31FBA7C6" w:rsidR="009E6484" w:rsidRPr="00C12936" w:rsidRDefault="009E6484" w:rsidP="007757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Contributing to and implementing actions plans to address under-performance whether through quality or financial reason</w:t>
            </w:r>
            <w:r w:rsidR="00F2088D" w:rsidRPr="00C12936">
              <w:rPr>
                <w:rFonts w:ascii="Arial" w:hAnsi="Arial" w:cs="Arial"/>
                <w:sz w:val="16"/>
                <w:szCs w:val="16"/>
              </w:rPr>
              <w:t xml:space="preserve"> in order to achieve required quality standards and maximise performance</w:t>
            </w:r>
          </w:p>
          <w:p w14:paraId="15E03805" w14:textId="5E911A2D" w:rsidR="009E6484" w:rsidRPr="00C12936" w:rsidRDefault="009E6484" w:rsidP="007757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effective staffing</w:t>
            </w:r>
            <w:r w:rsidR="000A38DB" w:rsidRPr="00C12936">
              <w:rPr>
                <w:rFonts w:ascii="Arial" w:hAnsi="Arial" w:cs="Arial"/>
                <w:sz w:val="16"/>
                <w:szCs w:val="16"/>
              </w:rPr>
              <w:t xml:space="preserve"> structure and appropriate budget </w:t>
            </w:r>
            <w:r w:rsidR="00413DBC" w:rsidRPr="00C12936">
              <w:rPr>
                <w:rFonts w:ascii="Arial" w:hAnsi="Arial" w:cs="Arial"/>
                <w:sz w:val="16"/>
                <w:szCs w:val="16"/>
              </w:rPr>
              <w:t xml:space="preserve">in order to achieve required quality standards and maximise performance </w:t>
            </w:r>
          </w:p>
          <w:p w14:paraId="7FA6254F" w14:textId="5508A9E3" w:rsidR="00413DBC" w:rsidRPr="00C12936" w:rsidRDefault="00413DBC" w:rsidP="007757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Support staff in resolving difficult and challenging situations with service users</w:t>
            </w:r>
          </w:p>
          <w:p w14:paraId="486A3C2F" w14:textId="43883A1B" w:rsidR="00413DBC" w:rsidRPr="00C12936" w:rsidRDefault="00413DBC" w:rsidP="007757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 xml:space="preserve">Delivering continuous improvement in service quality and performance </w:t>
            </w:r>
          </w:p>
          <w:p w14:paraId="5C29F65F" w14:textId="04971073" w:rsidR="00413DBC" w:rsidRPr="00C12936" w:rsidRDefault="00413DBC" w:rsidP="007757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 xml:space="preserve">Participating in the maintenance and utilise management information and data collect systems as </w:t>
            </w:r>
            <w:r w:rsidR="00A16875" w:rsidRPr="00C12936">
              <w:rPr>
                <w:rFonts w:ascii="Arial" w:hAnsi="Arial" w:cs="Arial"/>
                <w:sz w:val="16"/>
                <w:szCs w:val="16"/>
              </w:rPr>
              <w:t>appropriate</w:t>
            </w:r>
          </w:p>
          <w:p w14:paraId="60A955F6" w14:textId="79A73850" w:rsidR="002D5D07" w:rsidRPr="00C12936" w:rsidRDefault="002D5D07" w:rsidP="00BE36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41B" w:rsidRPr="00C12936" w14:paraId="09874DE5" w14:textId="77777777" w:rsidTr="00275DE0">
        <w:trPr>
          <w:trHeight w:val="1361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B8D" w14:textId="398C9BC3" w:rsidR="0059541B" w:rsidRPr="00C12936" w:rsidRDefault="0059541B" w:rsidP="00427B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People Management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A177" w14:textId="77777777" w:rsidR="0059541B" w:rsidRPr="00C12936" w:rsidRDefault="00A16875" w:rsidP="00A16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To lead, manage and motivate the team by:</w:t>
            </w:r>
          </w:p>
          <w:p w14:paraId="08D1C583" w14:textId="77777777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Using a participative style as the norm ensuring a culture is developed and sustained within the team that is conducive to team working, continuous improvement and learning</w:t>
            </w:r>
          </w:p>
          <w:p w14:paraId="06C50491" w14:textId="77777777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that all communication channels are open and that information flows up, down and across the team with appropriate access upwards</w:t>
            </w:r>
          </w:p>
          <w:p w14:paraId="39308896" w14:textId="77777777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 xml:space="preserve">Leading by example in participating in the performance management system, (OPR) and ensure it is embedded with the team and staff have the time to actively participate </w:t>
            </w:r>
          </w:p>
          <w:p w14:paraId="6170196F" w14:textId="43FF5803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that all staff within the service receive regular support and guidance both formally and informally</w:t>
            </w:r>
          </w:p>
          <w:p w14:paraId="6DFBF57F" w14:textId="61EEDF45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Coaching direct reports in appropriate management an</w:t>
            </w:r>
            <w:r w:rsidR="004577E9">
              <w:rPr>
                <w:rFonts w:ascii="Arial" w:hAnsi="Arial" w:cs="Arial"/>
                <w:sz w:val="16"/>
                <w:szCs w:val="16"/>
              </w:rPr>
              <w:t>d</w:t>
            </w:r>
            <w:r w:rsidRPr="00C12936">
              <w:rPr>
                <w:rFonts w:ascii="Arial" w:hAnsi="Arial" w:cs="Arial"/>
                <w:sz w:val="16"/>
                <w:szCs w:val="16"/>
              </w:rPr>
              <w:t xml:space="preserve"> motivation techniques to ensure the required culture is embedded across all strands of the team</w:t>
            </w:r>
          </w:p>
          <w:p w14:paraId="6883B402" w14:textId="77777777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robust resource management process, ensuring all staff structures are adequate to deliver quality standard, and participating in the recruitment process as required</w:t>
            </w:r>
          </w:p>
          <w:p w14:paraId="03DD3EB5" w14:textId="77777777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the appropriate application of HR policies and procedures and effectively manage the disciplinary, grievance and complaints process, supporting other services where necessary</w:t>
            </w:r>
          </w:p>
          <w:p w14:paraId="4B6455E5" w14:textId="77777777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Effectively managing sickness and other absence ensuring any underlying root causes are addressed</w:t>
            </w:r>
          </w:p>
          <w:p w14:paraId="2C5369C7" w14:textId="0BE43375" w:rsidR="00A16875" w:rsidRPr="00C12936" w:rsidRDefault="00A16875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 xml:space="preserve">Undertaking effective change management ensuring that robust consultation processes are utilised, that the required changes are </w:t>
            </w:r>
            <w:r w:rsidR="00427B2C" w:rsidRPr="00C12936">
              <w:rPr>
                <w:rFonts w:ascii="Arial" w:hAnsi="Arial" w:cs="Arial"/>
                <w:sz w:val="16"/>
                <w:szCs w:val="16"/>
              </w:rPr>
              <w:t>achieved in a timely manner and that the results are monitored and evaluated</w:t>
            </w:r>
          </w:p>
          <w:p w14:paraId="0C3AA009" w14:textId="77777777" w:rsidR="00427B2C" w:rsidRPr="00C12936" w:rsidRDefault="00427B2C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all staff participate in learning and development activities appropriate to their job role and the needs of the organisation</w:t>
            </w:r>
          </w:p>
          <w:p w14:paraId="131D4F7E" w14:textId="77777777" w:rsidR="00427B2C" w:rsidRPr="00C12936" w:rsidRDefault="00427B2C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Taking responsibility for own self development</w:t>
            </w:r>
          </w:p>
          <w:p w14:paraId="65CFFFD1" w14:textId="77777777" w:rsidR="00427B2C" w:rsidRPr="00C12936" w:rsidRDefault="00427B2C" w:rsidP="00A1687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Delivering training as appropriate in own area of specialism</w:t>
            </w:r>
          </w:p>
          <w:p w14:paraId="4A7ADBFE" w14:textId="77777777" w:rsidR="00427B2C" w:rsidRDefault="00427B2C" w:rsidP="00427B2C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FD2CDF" w14:textId="2EA35183" w:rsidR="00C12936" w:rsidRPr="00C12936" w:rsidRDefault="00C12936" w:rsidP="00427B2C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7B2C" w:rsidRPr="00C12936" w14:paraId="38F32F3E" w14:textId="77777777" w:rsidTr="00DF3D1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20F" w14:textId="23EA6E63" w:rsidR="00427B2C" w:rsidRPr="00C12936" w:rsidRDefault="00427B2C" w:rsidP="00427B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Health, Safety and Risk Management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626" w14:textId="77777777" w:rsidR="00427B2C" w:rsidRPr="00C12936" w:rsidRDefault="00427B2C" w:rsidP="00427B2C">
            <w:p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To ensure Health and Safety standards are maintained and risk is mitigated to the lowest level possible by:</w:t>
            </w:r>
          </w:p>
          <w:p w14:paraId="472C2D51" w14:textId="77777777" w:rsidR="00427B2C" w:rsidRPr="00C12936" w:rsidRDefault="00427B2C" w:rsidP="00427B2C">
            <w:pPr>
              <w:pStyle w:val="ListParagraph"/>
              <w:numPr>
                <w:ilvl w:val="0"/>
                <w:numId w:val="39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Being responsible for all Health ad Safety matters within area of responsibility</w:t>
            </w:r>
          </w:p>
          <w:p w14:paraId="5F52D4EB" w14:textId="7C13D48A" w:rsidR="00427B2C" w:rsidRPr="00C12936" w:rsidRDefault="00427B2C" w:rsidP="00427B2C">
            <w:pPr>
              <w:pStyle w:val="ListParagraph"/>
              <w:numPr>
                <w:ilvl w:val="0"/>
                <w:numId w:val="39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th</w:t>
            </w:r>
            <w:r w:rsidR="004577E9">
              <w:rPr>
                <w:rFonts w:ascii="Arial" w:hAnsi="Arial" w:cs="Arial"/>
                <w:sz w:val="16"/>
                <w:szCs w:val="16"/>
              </w:rPr>
              <w:t xml:space="preserve">at </w:t>
            </w:r>
            <w:r w:rsidRPr="00C12936">
              <w:rPr>
                <w:rFonts w:ascii="Arial" w:hAnsi="Arial" w:cs="Arial"/>
                <w:sz w:val="16"/>
                <w:szCs w:val="16"/>
              </w:rPr>
              <w:t>risk assessments and reviews are undertaken, and that identified risks are managed and mitigated where possible</w:t>
            </w:r>
          </w:p>
          <w:p w14:paraId="5D530FA7" w14:textId="77777777" w:rsidR="00427B2C" w:rsidRPr="00C12936" w:rsidRDefault="00427B2C" w:rsidP="00427B2C">
            <w:pPr>
              <w:pStyle w:val="ListParagraph"/>
              <w:numPr>
                <w:ilvl w:val="0"/>
                <w:numId w:val="39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full compliance with all Health and Safety requirements</w:t>
            </w:r>
          </w:p>
          <w:p w14:paraId="62515BB4" w14:textId="77777777" w:rsidR="00427B2C" w:rsidRPr="00C12936" w:rsidRDefault="00427B2C" w:rsidP="00427B2C">
            <w:pPr>
              <w:pStyle w:val="ListParagraph"/>
              <w:numPr>
                <w:ilvl w:val="0"/>
                <w:numId w:val="39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 xml:space="preserve">Ensuring implementation </w:t>
            </w:r>
            <w:r w:rsidR="00DF3D1C" w:rsidRPr="00C12936">
              <w:rPr>
                <w:rFonts w:ascii="Arial" w:hAnsi="Arial" w:cs="Arial"/>
                <w:sz w:val="16"/>
                <w:szCs w:val="16"/>
              </w:rPr>
              <w:t>and regular review of the business continuity plan where appropriate</w:t>
            </w:r>
          </w:p>
          <w:p w14:paraId="3A62222F" w14:textId="77777777" w:rsidR="00DF3D1C" w:rsidRPr="00C12936" w:rsidRDefault="00DF3D1C" w:rsidP="00427B2C">
            <w:pPr>
              <w:pStyle w:val="ListParagraph"/>
              <w:numPr>
                <w:ilvl w:val="0"/>
                <w:numId w:val="39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that staff take personal responsibility for their own and others safety e.g. vaccinations, eye sight tests, work place assessments</w:t>
            </w:r>
          </w:p>
          <w:p w14:paraId="1E1303C3" w14:textId="77777777" w:rsidR="00DF3D1C" w:rsidRPr="00C12936" w:rsidRDefault="00DF3D1C" w:rsidP="00427B2C">
            <w:pPr>
              <w:pStyle w:val="ListParagraph"/>
              <w:numPr>
                <w:ilvl w:val="0"/>
                <w:numId w:val="39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Ensuring that staff comply with partner Heath and Safety policies and procedures where appropriate</w:t>
            </w:r>
          </w:p>
          <w:p w14:paraId="48F933E6" w14:textId="77777777" w:rsidR="00DF3D1C" w:rsidRPr="00C12936" w:rsidRDefault="00DF3D1C" w:rsidP="00427B2C">
            <w:pPr>
              <w:pStyle w:val="ListParagraph"/>
              <w:numPr>
                <w:ilvl w:val="0"/>
                <w:numId w:val="39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lastRenderedPageBreak/>
              <w:t>Managing the formal reporting process for serious untoward incidents and accidents</w:t>
            </w:r>
          </w:p>
          <w:p w14:paraId="1F6320EF" w14:textId="76E84DAF" w:rsidR="00DF3D1C" w:rsidRPr="00C12936" w:rsidRDefault="00DF3D1C" w:rsidP="00DF3D1C">
            <w:pPr>
              <w:pStyle w:val="ListParagraph"/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D1C" w:rsidRPr="00C12936" w14:paraId="42DBB592" w14:textId="77777777" w:rsidTr="00DF3D1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850" w14:textId="54F3F71B" w:rsidR="00DF3D1C" w:rsidRPr="00C12936" w:rsidRDefault="00DF3D1C" w:rsidP="00427B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Compliance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6509" w14:textId="77777777" w:rsidR="00DF3D1C" w:rsidRPr="00C12936" w:rsidRDefault="00DF3D1C" w:rsidP="00427B2C">
            <w:p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To ensure compliance with internal and external standards and codes of conduct by:</w:t>
            </w:r>
          </w:p>
          <w:p w14:paraId="19E782D8" w14:textId="77777777" w:rsidR="00DF3D1C" w:rsidRPr="00C12936" w:rsidRDefault="00DF3D1C" w:rsidP="00DF3D1C">
            <w:pPr>
              <w:pStyle w:val="ListParagraph"/>
              <w:numPr>
                <w:ilvl w:val="0"/>
                <w:numId w:val="40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Meeting all regulatory requirements</w:t>
            </w:r>
          </w:p>
          <w:p w14:paraId="0AB5951A" w14:textId="77777777" w:rsidR="00DF3D1C" w:rsidRPr="00C12936" w:rsidRDefault="00DF3D1C" w:rsidP="00DF3D1C">
            <w:pPr>
              <w:pStyle w:val="ListParagraph"/>
              <w:numPr>
                <w:ilvl w:val="0"/>
                <w:numId w:val="40"/>
              </w:num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Complying with Turning Point’s code of conduct, policies and procedures</w:t>
            </w:r>
          </w:p>
          <w:p w14:paraId="459A131A" w14:textId="08038943" w:rsidR="00DF3D1C" w:rsidRPr="00C12936" w:rsidRDefault="00DF3D1C" w:rsidP="00DF3D1C">
            <w:pPr>
              <w:pStyle w:val="ListParagraph"/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D1C" w:rsidRPr="00C12936" w14:paraId="7E43BB8D" w14:textId="77777777" w:rsidTr="00413DBC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B833C" w14:textId="403B99A4" w:rsidR="00DF3D1C" w:rsidRPr="00C12936" w:rsidRDefault="00DF3D1C" w:rsidP="00427B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Miscellaneous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F2A" w14:textId="77777777" w:rsidR="00DF3D1C" w:rsidRPr="00C12936" w:rsidRDefault="00DF3D1C" w:rsidP="00427B2C">
            <w:p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  <w:r w:rsidRPr="00C12936">
              <w:rPr>
                <w:rFonts w:ascii="Arial" w:hAnsi="Arial" w:cs="Arial"/>
                <w:sz w:val="16"/>
                <w:szCs w:val="16"/>
              </w:rPr>
              <w:t>Undertake other responsibilities assigned by the line manager as appropriate to the area of responsibility</w:t>
            </w:r>
          </w:p>
          <w:p w14:paraId="1216583C" w14:textId="2CD5D60F" w:rsidR="00DF3D1C" w:rsidRPr="00C12936" w:rsidRDefault="00DF3D1C" w:rsidP="00427B2C">
            <w:pPr>
              <w:spacing w:before="6" w:after="6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EEC669" w14:textId="77777777" w:rsidR="00C73D35" w:rsidRPr="00C12936" w:rsidRDefault="00C73D35" w:rsidP="00A62C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56B9AB" w14:textId="77777777" w:rsidR="008748B9" w:rsidRPr="00C12936" w:rsidRDefault="008748B9" w:rsidP="008748B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9"/>
        <w:gridCol w:w="7342"/>
      </w:tblGrid>
      <w:tr w:rsidR="00DF3D1C" w:rsidRPr="00C12936" w14:paraId="36E95EC1" w14:textId="77777777" w:rsidTr="00DF3D1C">
        <w:trPr>
          <w:trHeight w:val="25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460A5" w14:textId="77777777" w:rsidR="00DF3D1C" w:rsidRPr="00C12936" w:rsidRDefault="00DF3D1C" w:rsidP="00E67BF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 Performance Specific Key Accountabilities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05577" w14:textId="77777777" w:rsidR="00DF3D1C" w:rsidRPr="00C12936" w:rsidRDefault="00DF3D1C" w:rsidP="00DF3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5D072F" w14:textId="3436F777" w:rsidR="00DF3D1C" w:rsidRPr="00C12936" w:rsidRDefault="00DF3D1C" w:rsidP="00DF3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 Performance Specific Key Activities/Decision Areas</w:t>
            </w:r>
          </w:p>
        </w:tc>
      </w:tr>
      <w:tr w:rsidR="00DF3D1C" w:rsidRPr="00C12936" w14:paraId="5D7B7382" w14:textId="77777777" w:rsidTr="00C12936">
        <w:trPr>
          <w:trHeight w:val="20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CBE9C" w14:textId="43572963" w:rsidR="00DF3D1C" w:rsidRPr="00C12936" w:rsidRDefault="00DF3D1C" w:rsidP="00DF3D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Service </w:t>
            </w:r>
            <w:r w:rsidR="0074379A"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pecific </w:t>
            </w:r>
            <w:r w:rsidR="0074379A"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perational </w:t>
            </w:r>
            <w:r w:rsidR="0074379A"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anagement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4ADAE" w14:textId="77777777" w:rsidR="00DF3D1C" w:rsidRPr="00C12936" w:rsidRDefault="00DF3D1C" w:rsidP="00DF3D1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To provide effective operational management by:</w:t>
            </w:r>
          </w:p>
          <w:p w14:paraId="4CAE629F" w14:textId="590A52EA" w:rsidR="00DF3D1C" w:rsidRPr="00C12936" w:rsidRDefault="00DF3D1C" w:rsidP="00DF3D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Ensuring clinical governance to Turning Point and/or other external national standards</w:t>
            </w:r>
            <w:r w:rsidR="00A718F1" w:rsidRPr="00C12936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relevant), so that the correct standards and quality of care are maintained</w:t>
            </w:r>
          </w:p>
          <w:p w14:paraId="46B7D6F2" w14:textId="2D3EFBE5" w:rsidR="00A718F1" w:rsidRPr="00C12936" w:rsidRDefault="00A718F1" w:rsidP="00DF3D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Ensuring service user involvement and a person</w:t>
            </w:r>
            <w:r w:rsidR="0074379A" w:rsidRPr="00C1293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centred approach are embedded within service values</w:t>
            </w:r>
          </w:p>
          <w:p w14:paraId="7A217336" w14:textId="77777777" w:rsidR="00A718F1" w:rsidRPr="00C12936" w:rsidRDefault="0074379A" w:rsidP="00DF3D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Providing own professional guidance and coaching on case management</w:t>
            </w:r>
          </w:p>
          <w:p w14:paraId="2ED48BC3" w14:textId="77777777" w:rsidR="0074379A" w:rsidRPr="00C12936" w:rsidRDefault="0074379A" w:rsidP="00DF3D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Ensuring regular audits (internal and external) take place and results are acted upon and learning is shared across Turning Point</w:t>
            </w:r>
          </w:p>
          <w:p w14:paraId="064A0234" w14:textId="439543CF" w:rsidR="0074379A" w:rsidRPr="00C12936" w:rsidRDefault="0074379A" w:rsidP="007437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On-going monitoring of KPIs, SLAs, contracts and outcomes identifying variances against targets implementing actions where appropriate</w:t>
            </w:r>
          </w:p>
        </w:tc>
      </w:tr>
      <w:tr w:rsidR="0074379A" w:rsidRPr="00C12936" w14:paraId="0193D813" w14:textId="77777777" w:rsidTr="00C96E24">
        <w:trPr>
          <w:trHeight w:val="11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B3D56" w14:textId="21A8D620" w:rsidR="0074379A" w:rsidRPr="00C12936" w:rsidRDefault="0074379A" w:rsidP="00DF3D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Business Development, Marketing and Strategic Planning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39144" w14:textId="2F8EDE49" w:rsidR="0074379A" w:rsidRPr="00C12936" w:rsidRDefault="0074379A" w:rsidP="00DF3D1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 xml:space="preserve">To </w:t>
            </w:r>
            <w:r w:rsidR="004577E9">
              <w:rPr>
                <w:rFonts w:ascii="Arial" w:hAnsi="Arial" w:cs="Arial"/>
                <w:color w:val="000000"/>
                <w:sz w:val="16"/>
                <w:szCs w:val="16"/>
              </w:rPr>
              <w:t xml:space="preserve">assist the Service Manager </w:t>
            </w: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develop the service offered locally in line with the business p</w:t>
            </w:r>
            <w:r w:rsidR="004577E9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an by:</w:t>
            </w:r>
          </w:p>
          <w:p w14:paraId="5F2473E7" w14:textId="6F31EAE1" w:rsidR="0074379A" w:rsidRPr="00C12936" w:rsidRDefault="0074379A" w:rsidP="007437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 xml:space="preserve">Being aware of the local market, political </w:t>
            </w:r>
            <w:r w:rsidR="004577E9" w:rsidRPr="00C12936">
              <w:rPr>
                <w:rFonts w:ascii="Arial" w:hAnsi="Arial" w:cs="Arial"/>
                <w:color w:val="000000"/>
                <w:sz w:val="16"/>
                <w:szCs w:val="16"/>
              </w:rPr>
              <w:t>climate,</w:t>
            </w: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available funding, and look for and take advantage of business development opportunities within their own service or new areas</w:t>
            </w:r>
          </w:p>
          <w:p w14:paraId="0CA7DCA8" w14:textId="77777777" w:rsidR="0074379A" w:rsidRPr="00C12936" w:rsidRDefault="0074379A" w:rsidP="007437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In liaison with the Locality Manager, undertaking proactive relationship management with commissioners and other partners in order to identify gaps and proactively act on this information</w:t>
            </w:r>
          </w:p>
          <w:p w14:paraId="1AA3595E" w14:textId="77777777" w:rsidR="0074379A" w:rsidRPr="00C12936" w:rsidRDefault="0074379A" w:rsidP="007437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Identifying ways to adapt the service delivery or the way the service operates to meet changing service user/commissioner needs or a changing regulatory environment</w:t>
            </w:r>
          </w:p>
          <w:p w14:paraId="791B3D0F" w14:textId="77777777" w:rsidR="0074379A" w:rsidRPr="00C12936" w:rsidRDefault="0074379A" w:rsidP="007437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In liaison with the Locality Manager inputting into the bid process for enlarging their service provision, e.g. provide specialist expertise and local knowledge; write papers/proposals; present to commissioners</w:t>
            </w:r>
          </w:p>
          <w:p w14:paraId="11C66211" w14:textId="77777777" w:rsidR="0074379A" w:rsidRPr="00C12936" w:rsidRDefault="0074379A" w:rsidP="007437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Implementing all aspects of agreed service enlargement e.g. implementation project plan, business plan, monitoring against the implementation plan and reporting internally or externally on progress</w:t>
            </w:r>
          </w:p>
          <w:p w14:paraId="7F8B4968" w14:textId="77777777" w:rsidR="0074379A" w:rsidRPr="00C12936" w:rsidRDefault="0074379A" w:rsidP="007437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Looking for local opportunities to raise the profile of Turning point and follow them through</w:t>
            </w:r>
          </w:p>
          <w:p w14:paraId="02B590ED" w14:textId="77777777" w:rsidR="00C96E24" w:rsidRPr="00C12936" w:rsidRDefault="00C96E24" w:rsidP="007437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Keeping abreast of local and sector development, and incorporate into business planning</w:t>
            </w:r>
          </w:p>
          <w:p w14:paraId="4E7A4EE7" w14:textId="77777777" w:rsidR="00C96E24" w:rsidRPr="00C12936" w:rsidRDefault="00C96E24" w:rsidP="00C96E2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Participating in ternal meetings to champion service user needs, inform Turning Point policy and develop standard Turning Point practices</w:t>
            </w:r>
          </w:p>
          <w:p w14:paraId="441EFC7D" w14:textId="77777777" w:rsidR="00C96E24" w:rsidRPr="00C12936" w:rsidRDefault="00C96E24" w:rsidP="00C96E2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Fully participating in and contributing to corporate initiatives</w:t>
            </w:r>
          </w:p>
          <w:p w14:paraId="791EF100" w14:textId="77777777" w:rsidR="00C96E24" w:rsidRDefault="00C96E24" w:rsidP="00C96E2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Meeting the agreed growth targets through organic growth and contribute to gaining new business</w:t>
            </w:r>
          </w:p>
          <w:p w14:paraId="4C6CB620" w14:textId="1291A977" w:rsidR="00C12936" w:rsidRPr="00C12936" w:rsidRDefault="00C12936" w:rsidP="00C12936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E24" w:rsidRPr="00C12936" w14:paraId="0F57F612" w14:textId="77777777" w:rsidTr="00C12936">
        <w:trPr>
          <w:trHeight w:val="151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D15F7" w14:textId="6880EDE8" w:rsidR="00C96E24" w:rsidRPr="00C12936" w:rsidRDefault="00C96E24" w:rsidP="00DF3D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936">
              <w:rPr>
                <w:rFonts w:ascii="Arial" w:hAnsi="Arial" w:cs="Arial"/>
                <w:b/>
                <w:bCs/>
                <w:sz w:val="16"/>
                <w:szCs w:val="16"/>
              </w:rPr>
              <w:t>Business Planning and Organisational Links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872D" w14:textId="77777777" w:rsidR="00C96E24" w:rsidRPr="00C12936" w:rsidRDefault="00C96E24" w:rsidP="00DF3D1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To ensure effective local business planning aligned to the Turning Point business plan by:</w:t>
            </w:r>
          </w:p>
          <w:p w14:paraId="2C83A57E" w14:textId="77777777" w:rsidR="00C96E24" w:rsidRPr="00C12936" w:rsidRDefault="00C96E24" w:rsidP="00C96E2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Leading on development and delivery of the service business plans</w:t>
            </w:r>
          </w:p>
          <w:p w14:paraId="5E7524F2" w14:textId="77777777" w:rsidR="00C96E24" w:rsidRPr="00C12936" w:rsidRDefault="00C96E24" w:rsidP="00C96E2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 xml:space="preserve">Liaising with managers across other business areas in order to develop objectives </w:t>
            </w:r>
          </w:p>
          <w:p w14:paraId="73F56995" w14:textId="77777777" w:rsidR="00C96E24" w:rsidRPr="00C12936" w:rsidRDefault="00C96E24" w:rsidP="00C96E2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 xml:space="preserve">Participating in strategic management meetings such as action forums and project teams </w:t>
            </w:r>
          </w:p>
          <w:p w14:paraId="69945EA1" w14:textId="77777777" w:rsidR="00C96E24" w:rsidRPr="00C12936" w:rsidRDefault="00C96E24" w:rsidP="00C96E2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Ensuring effective communication between the service and other parts of the organisation</w:t>
            </w:r>
          </w:p>
          <w:p w14:paraId="75606D8F" w14:textId="5E2F99DC" w:rsidR="00C96E24" w:rsidRPr="00C12936" w:rsidRDefault="00C96E24" w:rsidP="00C96E2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936">
              <w:rPr>
                <w:rFonts w:ascii="Arial" w:hAnsi="Arial" w:cs="Arial"/>
                <w:color w:val="000000"/>
                <w:sz w:val="16"/>
                <w:szCs w:val="16"/>
              </w:rPr>
              <w:t>Fully supporting and implementing organisational initiatives</w:t>
            </w:r>
          </w:p>
        </w:tc>
      </w:tr>
    </w:tbl>
    <w:p w14:paraId="62486C05" w14:textId="16F2662C" w:rsidR="00C73D35" w:rsidRDefault="00C73D35" w:rsidP="00A62CD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577E9" w14:paraId="2D1769D4" w14:textId="77777777" w:rsidTr="00DB6BD2">
        <w:tc>
          <w:tcPr>
            <w:tcW w:w="2410" w:type="dxa"/>
          </w:tcPr>
          <w:p w14:paraId="65306192" w14:textId="0856034A" w:rsidR="004577E9" w:rsidRDefault="004577E9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Specific Key Accountabilities</w:t>
            </w:r>
          </w:p>
        </w:tc>
        <w:tc>
          <w:tcPr>
            <w:tcW w:w="7371" w:type="dxa"/>
          </w:tcPr>
          <w:p w14:paraId="0C1C19D3" w14:textId="377FD93F" w:rsidR="004577E9" w:rsidRDefault="004577E9" w:rsidP="004577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Specific Key Activities/Decision Areas</w:t>
            </w:r>
          </w:p>
        </w:tc>
      </w:tr>
      <w:tr w:rsidR="004577E9" w14:paraId="03224EA0" w14:textId="77777777" w:rsidTr="00DB6BD2">
        <w:tc>
          <w:tcPr>
            <w:tcW w:w="2410" w:type="dxa"/>
          </w:tcPr>
          <w:p w14:paraId="7643AA00" w14:textId="6E7F7878" w:rsidR="004577E9" w:rsidRPr="00DB6BD2" w:rsidRDefault="004577E9" w:rsidP="004577E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6BD2">
              <w:rPr>
                <w:rFonts w:ascii="Arial" w:hAnsi="Arial" w:cs="Arial"/>
                <w:b/>
                <w:bCs/>
                <w:sz w:val="16"/>
                <w:szCs w:val="16"/>
              </w:rPr>
              <w:t>Empathy, Support and Encouragement of Service Users</w:t>
            </w:r>
          </w:p>
        </w:tc>
        <w:tc>
          <w:tcPr>
            <w:tcW w:w="7371" w:type="dxa"/>
          </w:tcPr>
          <w:p w14:paraId="3078BF22" w14:textId="77777777" w:rsidR="004577E9" w:rsidRPr="00DB6BD2" w:rsidRDefault="00DB6BD2" w:rsidP="00DB6BD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BD2">
              <w:rPr>
                <w:rFonts w:ascii="Arial" w:hAnsi="Arial" w:cs="Arial"/>
                <w:sz w:val="16"/>
                <w:szCs w:val="16"/>
              </w:rPr>
              <w:t>To work directly with service users to develop comprehensive plans, monitoring and reviewing progress against these</w:t>
            </w:r>
          </w:p>
          <w:p w14:paraId="6797AC39" w14:textId="40B704D0" w:rsidR="00DB6BD2" w:rsidRPr="00DB6BD2" w:rsidRDefault="00DB6BD2" w:rsidP="00DB6BD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BD2">
              <w:rPr>
                <w:rFonts w:ascii="Arial" w:hAnsi="Arial" w:cs="Arial"/>
                <w:sz w:val="16"/>
                <w:szCs w:val="16"/>
              </w:rPr>
              <w:t>Enabling service users, through education and raising awareness to manage factors that affect their own mental wellbeing</w:t>
            </w:r>
          </w:p>
          <w:p w14:paraId="75ED0E06" w14:textId="74F15C51" w:rsidR="00DB6BD2" w:rsidRPr="00DB6BD2" w:rsidRDefault="00DB6BD2" w:rsidP="00DB6BD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BD2">
              <w:rPr>
                <w:rFonts w:ascii="Arial" w:hAnsi="Arial" w:cs="Arial"/>
                <w:sz w:val="16"/>
                <w:szCs w:val="16"/>
              </w:rPr>
              <w:t>Developing, implementing, and reviewing service user focused interventions</w:t>
            </w:r>
          </w:p>
          <w:p w14:paraId="2863F8E3" w14:textId="2C0B1099" w:rsidR="00DB6BD2" w:rsidRDefault="00DB6BD2" w:rsidP="00DB6BD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BD2">
              <w:rPr>
                <w:rFonts w:ascii="Arial" w:hAnsi="Arial" w:cs="Arial"/>
                <w:sz w:val="16"/>
                <w:szCs w:val="16"/>
              </w:rPr>
              <w:t>Recognising indicators of deteriorating mental health, working collaboratively with community teams in supporting service users effectively</w:t>
            </w:r>
          </w:p>
          <w:p w14:paraId="3F887B53" w14:textId="471C72DD" w:rsidR="00DB6BD2" w:rsidRPr="00DB6BD2" w:rsidRDefault="00DB6BD2" w:rsidP="00DB6BD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Supporting service users to access or have knowledge of community support available to access should they require it</w:t>
            </w:r>
          </w:p>
          <w:p w14:paraId="1CDDC6DA" w14:textId="0CE0D54F" w:rsidR="00DB6BD2" w:rsidRDefault="00DB6BD2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465CAE" w14:textId="625E6FFA" w:rsidR="004577E9" w:rsidRDefault="004577E9" w:rsidP="00A62C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FAB1E5" w14:textId="77777777" w:rsidR="004577E9" w:rsidRDefault="004577E9" w:rsidP="00A62CD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C12936" w14:paraId="06D8EBC9" w14:textId="77777777" w:rsidTr="00C12936">
        <w:tc>
          <w:tcPr>
            <w:tcW w:w="2410" w:type="dxa"/>
          </w:tcPr>
          <w:p w14:paraId="23B386AF" w14:textId="77777777" w:rsidR="00C12936" w:rsidRDefault="00C12936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116D29" w14:textId="3EBE403F" w:rsidR="00C12936" w:rsidRDefault="00C12936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Duties</w:t>
            </w:r>
          </w:p>
        </w:tc>
        <w:tc>
          <w:tcPr>
            <w:tcW w:w="7371" w:type="dxa"/>
          </w:tcPr>
          <w:p w14:paraId="32E2B054" w14:textId="77777777" w:rsidR="00C12936" w:rsidRDefault="00C12936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95B1F6" w14:textId="72EF6FFD" w:rsidR="00C12936" w:rsidRDefault="00C12936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reasonably requested and required</w:t>
            </w:r>
          </w:p>
        </w:tc>
      </w:tr>
    </w:tbl>
    <w:p w14:paraId="77176EF9" w14:textId="66A82BCD" w:rsidR="00C12936" w:rsidRDefault="00C12936" w:rsidP="00A62CD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12936" w14:paraId="4385FF88" w14:textId="77777777" w:rsidTr="00F73732">
        <w:tc>
          <w:tcPr>
            <w:tcW w:w="9781" w:type="dxa"/>
          </w:tcPr>
          <w:p w14:paraId="220F6442" w14:textId="18DD26E4" w:rsidR="00C12936" w:rsidRDefault="00C12936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Specification</w:t>
            </w:r>
            <w:r w:rsidR="00AE7EA9">
              <w:rPr>
                <w:rFonts w:ascii="Arial" w:hAnsi="Arial" w:cs="Arial"/>
                <w:sz w:val="16"/>
                <w:szCs w:val="16"/>
              </w:rPr>
              <w:t xml:space="preserve"> – Professional Skills, Expertise and Qualifications</w:t>
            </w:r>
          </w:p>
        </w:tc>
      </w:tr>
      <w:tr w:rsidR="00C12936" w14:paraId="3C3D6B35" w14:textId="77777777" w:rsidTr="00F9146A">
        <w:tc>
          <w:tcPr>
            <w:tcW w:w="9781" w:type="dxa"/>
          </w:tcPr>
          <w:p w14:paraId="3863BA4E" w14:textId="1F55E8D7" w:rsidR="00C12936" w:rsidRPr="004577E9" w:rsidRDefault="00C12936" w:rsidP="004577E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7C0F">
              <w:rPr>
                <w:rFonts w:ascii="Arial" w:hAnsi="Arial" w:cs="Arial"/>
                <w:sz w:val="16"/>
                <w:szCs w:val="16"/>
              </w:rPr>
              <w:t>Leadership skills, ability to motivate and inspire others, building a cohesive team</w:t>
            </w:r>
          </w:p>
          <w:p w14:paraId="75302D2A" w14:textId="296F6F9D" w:rsidR="00C12936" w:rsidRPr="00F87C0F" w:rsidRDefault="00C12936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7C0F">
              <w:rPr>
                <w:rFonts w:ascii="Arial" w:hAnsi="Arial" w:cs="Arial"/>
                <w:sz w:val="16"/>
                <w:szCs w:val="16"/>
              </w:rPr>
              <w:t xml:space="preserve">Good numeracy skills </w:t>
            </w:r>
          </w:p>
          <w:p w14:paraId="6F79A755" w14:textId="77777777" w:rsidR="00C12936" w:rsidRPr="00F87C0F" w:rsidRDefault="00F87C0F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7C0F">
              <w:rPr>
                <w:rFonts w:ascii="Arial" w:hAnsi="Arial" w:cs="Arial"/>
                <w:sz w:val="16"/>
                <w:szCs w:val="16"/>
              </w:rPr>
              <w:t xml:space="preserve">Good verbal and written communication skills </w:t>
            </w:r>
          </w:p>
          <w:p w14:paraId="2DA26CF2" w14:textId="3319A005" w:rsidR="00F87C0F" w:rsidRDefault="00F87C0F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7C0F">
              <w:rPr>
                <w:rFonts w:ascii="Arial" w:hAnsi="Arial" w:cs="Arial"/>
                <w:sz w:val="16"/>
                <w:szCs w:val="16"/>
              </w:rPr>
              <w:t>Computer Literate</w:t>
            </w:r>
          </w:p>
          <w:p w14:paraId="791CAC51" w14:textId="3C2175CC" w:rsidR="00DB6BD2" w:rsidRDefault="00DB6BD2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Collaborative team working skills</w:t>
            </w:r>
          </w:p>
          <w:p w14:paraId="6AB0DFE9" w14:textId="2BA2236F" w:rsidR="00DB6BD2" w:rsidRDefault="00DB6BD2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Experience in supervising a small team</w:t>
            </w:r>
          </w:p>
          <w:p w14:paraId="06362A8D" w14:textId="7EA8591B" w:rsidR="00DB6BD2" w:rsidRDefault="00DB6BD2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Able to deliver a range of services/interventions in a person-centred, non-judgmental approach</w:t>
            </w:r>
          </w:p>
          <w:p w14:paraId="1B6F6822" w14:textId="62DCF14B" w:rsidR="00DB6BD2" w:rsidRDefault="00DB6BD2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Able to demonstrate flexibility and creativity within role</w:t>
            </w:r>
          </w:p>
          <w:p w14:paraId="5121ACA0" w14:textId="100F6B9B" w:rsidR="00DB6BD2" w:rsidRDefault="00DB6BD2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Experience of managing a caseload of service users with varying mental health needs</w:t>
            </w:r>
          </w:p>
          <w:p w14:paraId="3A9FCAC3" w14:textId="698C331E" w:rsidR="00DB6BD2" w:rsidRDefault="00DB6BD2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Adaptable </w:t>
            </w:r>
            <w:r w:rsidR="00AE7EA9">
              <w:rPr>
                <w:rFonts w:ascii="Arial" w:hAnsi="Arial" w:cs="Arial"/>
                <w:sz w:val="16"/>
                <w:szCs w:val="16"/>
              </w:rPr>
              <w:t>and able to work in a challenging and changeable environment</w:t>
            </w:r>
          </w:p>
          <w:p w14:paraId="4291FE29" w14:textId="47CE2915" w:rsidR="00AE7EA9" w:rsidRDefault="00AE7EA9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Proven track record of managing incidents of challenging behaviours</w:t>
            </w:r>
          </w:p>
          <w:p w14:paraId="4B0AF301" w14:textId="52FD1225" w:rsidR="00AE7EA9" w:rsidRPr="00AE7EA9" w:rsidRDefault="00AE7EA9" w:rsidP="00AE7EA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EA9">
              <w:rPr>
                <w:rFonts w:ascii="Arial" w:hAnsi="Arial" w:cs="Arial"/>
                <w:sz w:val="16"/>
                <w:szCs w:val="16"/>
              </w:rPr>
              <w:t>Able to demonstrate a good knowledge and value base in a relevant service specialism</w:t>
            </w:r>
          </w:p>
          <w:p w14:paraId="63C6964D" w14:textId="798BD05F" w:rsidR="00F87C0F" w:rsidRDefault="00F87C0F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appropriate quality standards and regulatory requirements</w:t>
            </w:r>
          </w:p>
          <w:p w14:paraId="37C123CB" w14:textId="71B05A0A" w:rsidR="00F87C0F" w:rsidRDefault="00F87C0F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Participative leadership and management style in normal circumstances</w:t>
            </w:r>
          </w:p>
          <w:p w14:paraId="157B288C" w14:textId="01F8D5F9" w:rsidR="00F87C0F" w:rsidRDefault="00F87C0F" w:rsidP="00F87C0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Service development skills </w:t>
            </w:r>
          </w:p>
          <w:p w14:paraId="4235750B" w14:textId="3A86BB13" w:rsidR="00F87C0F" w:rsidRDefault="00F87C0F" w:rsidP="00F87C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C3ACC1" w14:textId="7CABB8F5" w:rsidR="00F87C0F" w:rsidRDefault="00F87C0F" w:rsidP="00F87C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Service Performance Specific Requirements</w:t>
            </w:r>
          </w:p>
          <w:p w14:paraId="62E38517" w14:textId="4D75A762" w:rsidR="00F87C0F" w:rsidRDefault="00F87C0F" w:rsidP="00F87C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A34740" w14:textId="2F924A3F" w:rsidR="00F87C0F" w:rsidRDefault="00F87C0F" w:rsidP="00F87C0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Proven professional record within a related service user group including hands on experience</w:t>
            </w:r>
          </w:p>
          <w:p w14:paraId="1A370F82" w14:textId="406A3A7C" w:rsidR="00F87C0F" w:rsidRDefault="00F87C0F" w:rsidP="00F87C0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relevant government initiatives, sector regulations</w:t>
            </w:r>
            <w:r w:rsidR="00AE7EA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social care agenda</w:t>
            </w:r>
            <w:r w:rsidR="00AE7EA9">
              <w:rPr>
                <w:rFonts w:ascii="Arial" w:hAnsi="Arial" w:cs="Arial"/>
                <w:sz w:val="16"/>
                <w:szCs w:val="16"/>
              </w:rPr>
              <w:t>, national service framework and mental health act</w:t>
            </w:r>
          </w:p>
          <w:p w14:paraId="4660EAFC" w14:textId="7729B870" w:rsidR="00F87C0F" w:rsidRDefault="00F87C0F" w:rsidP="00F87C0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Displays a person</w:t>
            </w:r>
            <w:r w:rsidR="004F795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centred approach and has a proven track record in service user involvement</w:t>
            </w:r>
          </w:p>
          <w:p w14:paraId="1695A90F" w14:textId="69E7B4B1" w:rsidR="00AE7EA9" w:rsidRDefault="00AE7EA9" w:rsidP="00F87C0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Demonstrate education and/or training in the mental health sector</w:t>
            </w:r>
          </w:p>
          <w:p w14:paraId="790BE1F5" w14:textId="353E0D7D" w:rsidR="00AE7EA9" w:rsidRDefault="00AE7EA9" w:rsidP="00F87C0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knowledge and understanding of mental health needs and the ability to recognise the indicators of deteriorating mental health</w:t>
            </w:r>
          </w:p>
          <w:p w14:paraId="2898353A" w14:textId="6A2A3C3A" w:rsidR="00AE7EA9" w:rsidRPr="00F87C0F" w:rsidRDefault="00AE7EA9" w:rsidP="00F87C0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issues faced by service users with mental health needs and/or dual diagnosis</w:t>
            </w:r>
          </w:p>
          <w:p w14:paraId="1A11E9A7" w14:textId="535637AB" w:rsidR="00F87C0F" w:rsidRDefault="00F87C0F" w:rsidP="00A62C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A55114" w14:textId="77777777" w:rsidR="00C12936" w:rsidRPr="00C12936" w:rsidRDefault="00C12936" w:rsidP="00A62CD6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12936" w:rsidRPr="00C12936" w:rsidSect="00A833E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B580" w14:textId="77777777" w:rsidR="0035571A" w:rsidRDefault="0035571A" w:rsidP="008C359E">
      <w:pPr>
        <w:spacing w:after="0" w:line="240" w:lineRule="auto"/>
      </w:pPr>
      <w:r>
        <w:separator/>
      </w:r>
    </w:p>
  </w:endnote>
  <w:endnote w:type="continuationSeparator" w:id="0">
    <w:p w14:paraId="62A18839" w14:textId="77777777" w:rsidR="0035571A" w:rsidRDefault="0035571A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2903CBC8" w14:textId="77777777">
      <w:trPr>
        <w:trHeight w:val="360"/>
      </w:trPr>
      <w:tc>
        <w:tcPr>
          <w:tcW w:w="1500" w:type="pct"/>
          <w:shd w:val="clear" w:color="auto" w:fill="8064A2"/>
        </w:tcPr>
        <w:p w14:paraId="7B20FA2E" w14:textId="77777777" w:rsidR="00447434" w:rsidRPr="00A9560E" w:rsidRDefault="00FE7EDA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F26F1C" w:rsidRPr="00F26F1C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14:paraId="1299C43A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4DDBEF00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07E43807" w14:textId="77777777" w:rsidTr="0001692C">
      <w:trPr>
        <w:trHeight w:val="360"/>
      </w:trPr>
      <w:tc>
        <w:tcPr>
          <w:tcW w:w="3500" w:type="pct"/>
        </w:tcPr>
        <w:p w14:paraId="4101652C" w14:textId="77777777"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14:paraId="4593D69D" w14:textId="77777777" w:rsidR="00447434" w:rsidRPr="0001692C" w:rsidRDefault="00FE7EDA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F26F1C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4B99056E" w14:textId="77777777"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EFE9" w14:textId="77777777" w:rsidR="0035571A" w:rsidRDefault="0035571A" w:rsidP="008C359E">
      <w:pPr>
        <w:spacing w:after="0" w:line="240" w:lineRule="auto"/>
      </w:pPr>
      <w:r>
        <w:separator/>
      </w:r>
    </w:p>
  </w:footnote>
  <w:footnote w:type="continuationSeparator" w:id="0">
    <w:p w14:paraId="550994A8" w14:textId="77777777" w:rsidR="0035571A" w:rsidRDefault="0035571A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447434" w:rsidRPr="00A9560E" w14:paraId="438F70A8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3714D619" w14:textId="15F629E4" w:rsidR="00447434" w:rsidRPr="00A9560E" w:rsidRDefault="000338E9" w:rsidP="0001692C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Nottingham Transition Service</w:t>
          </w:r>
        </w:p>
      </w:tc>
      <w:tc>
        <w:tcPr>
          <w:tcW w:w="750" w:type="pct"/>
          <w:shd w:val="clear" w:color="auto" w:fill="000000"/>
          <w:vAlign w:val="center"/>
        </w:tcPr>
        <w:p w14:paraId="62D93DB0" w14:textId="62ABAC39" w:rsidR="00447434" w:rsidRPr="00A9560E" w:rsidRDefault="000338E9" w:rsidP="00CE163C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October 2022</w:t>
          </w:r>
        </w:p>
      </w:tc>
    </w:tr>
  </w:tbl>
  <w:p w14:paraId="3461D779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11.5pt;height:11.5pt" o:bullet="t">
        <v:imagedata r:id="rId1" o:title="msoD85E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F4E"/>
    <w:multiLevelType w:val="hybridMultilevel"/>
    <w:tmpl w:val="033C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14A8"/>
    <w:multiLevelType w:val="hybridMultilevel"/>
    <w:tmpl w:val="56FC8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1038"/>
    <w:multiLevelType w:val="hybridMultilevel"/>
    <w:tmpl w:val="CB60D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93911"/>
    <w:multiLevelType w:val="hybridMultilevel"/>
    <w:tmpl w:val="F270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06C25"/>
    <w:multiLevelType w:val="hybridMultilevel"/>
    <w:tmpl w:val="4F70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1DCC"/>
    <w:multiLevelType w:val="hybridMultilevel"/>
    <w:tmpl w:val="984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5333C"/>
    <w:multiLevelType w:val="hybridMultilevel"/>
    <w:tmpl w:val="743A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007AA"/>
    <w:multiLevelType w:val="hybridMultilevel"/>
    <w:tmpl w:val="4522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67A45"/>
    <w:multiLevelType w:val="hybridMultilevel"/>
    <w:tmpl w:val="D6CC00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3D10"/>
    <w:multiLevelType w:val="hybridMultilevel"/>
    <w:tmpl w:val="9268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57281"/>
    <w:multiLevelType w:val="hybridMultilevel"/>
    <w:tmpl w:val="112C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6FCF"/>
    <w:multiLevelType w:val="hybridMultilevel"/>
    <w:tmpl w:val="29AC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73534"/>
    <w:multiLevelType w:val="hybridMultilevel"/>
    <w:tmpl w:val="E9283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C27BD"/>
    <w:multiLevelType w:val="hybridMultilevel"/>
    <w:tmpl w:val="559C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C0194"/>
    <w:multiLevelType w:val="hybridMultilevel"/>
    <w:tmpl w:val="8C5E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D373E"/>
    <w:multiLevelType w:val="hybridMultilevel"/>
    <w:tmpl w:val="AF002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76072"/>
    <w:multiLevelType w:val="hybridMultilevel"/>
    <w:tmpl w:val="89B8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05F0D"/>
    <w:multiLevelType w:val="hybridMultilevel"/>
    <w:tmpl w:val="9FB2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5F29"/>
    <w:multiLevelType w:val="hybridMultilevel"/>
    <w:tmpl w:val="E442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33110"/>
    <w:multiLevelType w:val="hybridMultilevel"/>
    <w:tmpl w:val="CB62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E5111"/>
    <w:multiLevelType w:val="hybridMultilevel"/>
    <w:tmpl w:val="D5BE6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46A84"/>
    <w:multiLevelType w:val="hybridMultilevel"/>
    <w:tmpl w:val="3CE0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6" w15:restartNumberingAfterBreak="0">
    <w:nsid w:val="7A9F74C6"/>
    <w:multiLevelType w:val="hybridMultilevel"/>
    <w:tmpl w:val="2C0E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13184"/>
    <w:multiLevelType w:val="hybridMultilevel"/>
    <w:tmpl w:val="8DD8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01325"/>
    <w:multiLevelType w:val="hybridMultilevel"/>
    <w:tmpl w:val="55A8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21C68"/>
    <w:multiLevelType w:val="hybridMultilevel"/>
    <w:tmpl w:val="BEC6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7311">
    <w:abstractNumId w:val="30"/>
  </w:num>
  <w:num w:numId="2" w16cid:durableId="1733850144">
    <w:abstractNumId w:val="12"/>
  </w:num>
  <w:num w:numId="3" w16cid:durableId="1975138165">
    <w:abstractNumId w:val="29"/>
  </w:num>
  <w:num w:numId="4" w16cid:durableId="2057658395">
    <w:abstractNumId w:val="43"/>
  </w:num>
  <w:num w:numId="5" w16cid:durableId="1612203752">
    <w:abstractNumId w:val="17"/>
  </w:num>
  <w:num w:numId="6" w16cid:durableId="210112486">
    <w:abstractNumId w:val="14"/>
  </w:num>
  <w:num w:numId="7" w16cid:durableId="469907400">
    <w:abstractNumId w:val="3"/>
  </w:num>
  <w:num w:numId="8" w16cid:durableId="1012418171">
    <w:abstractNumId w:val="18"/>
  </w:num>
  <w:num w:numId="9" w16cid:durableId="1642424395">
    <w:abstractNumId w:val="7"/>
  </w:num>
  <w:num w:numId="10" w16cid:durableId="1737239801">
    <w:abstractNumId w:val="6"/>
  </w:num>
  <w:num w:numId="11" w16cid:durableId="740249352">
    <w:abstractNumId w:val="41"/>
  </w:num>
  <w:num w:numId="12" w16cid:durableId="1185754009">
    <w:abstractNumId w:val="23"/>
  </w:num>
  <w:num w:numId="13" w16cid:durableId="254363239">
    <w:abstractNumId w:val="44"/>
  </w:num>
  <w:num w:numId="14" w16cid:durableId="614795446">
    <w:abstractNumId w:val="21"/>
  </w:num>
  <w:num w:numId="15" w16cid:durableId="725300234">
    <w:abstractNumId w:val="42"/>
  </w:num>
  <w:num w:numId="16" w16cid:durableId="1846437321">
    <w:abstractNumId w:val="45"/>
  </w:num>
  <w:num w:numId="17" w16cid:durableId="1962420785">
    <w:abstractNumId w:val="1"/>
  </w:num>
  <w:num w:numId="18" w16cid:durableId="1020085722">
    <w:abstractNumId w:val="22"/>
  </w:num>
  <w:num w:numId="19" w16cid:durableId="2014720006">
    <w:abstractNumId w:val="5"/>
  </w:num>
  <w:num w:numId="20" w16cid:durableId="680085213">
    <w:abstractNumId w:val="39"/>
  </w:num>
  <w:num w:numId="21" w16cid:durableId="686061228">
    <w:abstractNumId w:val="0"/>
  </w:num>
  <w:num w:numId="22" w16cid:durableId="2026901901">
    <w:abstractNumId w:val="31"/>
  </w:num>
  <w:num w:numId="23" w16cid:durableId="850072107">
    <w:abstractNumId w:val="33"/>
  </w:num>
  <w:num w:numId="24" w16cid:durableId="1762409086">
    <w:abstractNumId w:val="19"/>
  </w:num>
  <w:num w:numId="25" w16cid:durableId="690836245">
    <w:abstractNumId w:val="2"/>
  </w:num>
  <w:num w:numId="26" w16cid:durableId="1096288308">
    <w:abstractNumId w:val="34"/>
  </w:num>
  <w:num w:numId="27" w16cid:durableId="1337540995">
    <w:abstractNumId w:val="32"/>
  </w:num>
  <w:num w:numId="28" w16cid:durableId="1197547838">
    <w:abstractNumId w:val="38"/>
  </w:num>
  <w:num w:numId="29" w16cid:durableId="1905412493">
    <w:abstractNumId w:val="8"/>
  </w:num>
  <w:num w:numId="30" w16cid:durableId="1330794288">
    <w:abstractNumId w:val="13"/>
  </w:num>
  <w:num w:numId="31" w16cid:durableId="1665743686">
    <w:abstractNumId w:val="24"/>
  </w:num>
  <w:num w:numId="32" w16cid:durableId="1554734373">
    <w:abstractNumId w:val="15"/>
  </w:num>
  <w:num w:numId="33" w16cid:durableId="1837303728">
    <w:abstractNumId w:val="11"/>
  </w:num>
  <w:num w:numId="34" w16cid:durableId="1728802385">
    <w:abstractNumId w:val="36"/>
  </w:num>
  <w:num w:numId="35" w16cid:durableId="1150288818">
    <w:abstractNumId w:val="26"/>
  </w:num>
  <w:num w:numId="36" w16cid:durableId="1994673664">
    <w:abstractNumId w:val="16"/>
  </w:num>
  <w:num w:numId="37" w16cid:durableId="1936862160">
    <w:abstractNumId w:val="46"/>
  </w:num>
  <w:num w:numId="38" w16cid:durableId="1815872211">
    <w:abstractNumId w:val="48"/>
  </w:num>
  <w:num w:numId="39" w16cid:durableId="1351487342">
    <w:abstractNumId w:val="10"/>
  </w:num>
  <w:num w:numId="40" w16cid:durableId="498813311">
    <w:abstractNumId w:val="35"/>
  </w:num>
  <w:num w:numId="41" w16cid:durableId="1883667594">
    <w:abstractNumId w:val="47"/>
  </w:num>
  <w:num w:numId="42" w16cid:durableId="1953516421">
    <w:abstractNumId w:val="49"/>
  </w:num>
  <w:num w:numId="43" w16cid:durableId="1728455264">
    <w:abstractNumId w:val="40"/>
  </w:num>
  <w:num w:numId="44" w16cid:durableId="1842502453">
    <w:abstractNumId w:val="28"/>
  </w:num>
  <w:num w:numId="45" w16cid:durableId="1614021673">
    <w:abstractNumId w:val="27"/>
  </w:num>
  <w:num w:numId="46" w16cid:durableId="1727877482">
    <w:abstractNumId w:val="4"/>
  </w:num>
  <w:num w:numId="47" w16cid:durableId="211036660">
    <w:abstractNumId w:val="20"/>
  </w:num>
  <w:num w:numId="48" w16cid:durableId="1955476515">
    <w:abstractNumId w:val="37"/>
  </w:num>
  <w:num w:numId="49" w16cid:durableId="406221458">
    <w:abstractNumId w:val="9"/>
  </w:num>
  <w:num w:numId="50" w16cid:durableId="15086410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338E9"/>
    <w:rsid w:val="0005222D"/>
    <w:rsid w:val="00061BC9"/>
    <w:rsid w:val="0006459F"/>
    <w:rsid w:val="0008186B"/>
    <w:rsid w:val="00082A43"/>
    <w:rsid w:val="000A38DB"/>
    <w:rsid w:val="000B40C8"/>
    <w:rsid w:val="000D5F44"/>
    <w:rsid w:val="00100AEA"/>
    <w:rsid w:val="00146D96"/>
    <w:rsid w:val="001560F1"/>
    <w:rsid w:val="00180142"/>
    <w:rsid w:val="00182AB4"/>
    <w:rsid w:val="001A64C7"/>
    <w:rsid w:val="001B76B8"/>
    <w:rsid w:val="001C512D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54E7A"/>
    <w:rsid w:val="0025661D"/>
    <w:rsid w:val="00256DD6"/>
    <w:rsid w:val="00262C71"/>
    <w:rsid w:val="00262F2D"/>
    <w:rsid w:val="002728DE"/>
    <w:rsid w:val="002854EC"/>
    <w:rsid w:val="0029678F"/>
    <w:rsid w:val="002A195F"/>
    <w:rsid w:val="002A6614"/>
    <w:rsid w:val="002B5032"/>
    <w:rsid w:val="002C53B5"/>
    <w:rsid w:val="002D48C0"/>
    <w:rsid w:val="002D5D07"/>
    <w:rsid w:val="002E4108"/>
    <w:rsid w:val="003104B4"/>
    <w:rsid w:val="003338F3"/>
    <w:rsid w:val="00340E34"/>
    <w:rsid w:val="00350275"/>
    <w:rsid w:val="0035571A"/>
    <w:rsid w:val="00360637"/>
    <w:rsid w:val="00380707"/>
    <w:rsid w:val="00390042"/>
    <w:rsid w:val="003A632B"/>
    <w:rsid w:val="00412511"/>
    <w:rsid w:val="00413DBC"/>
    <w:rsid w:val="00426054"/>
    <w:rsid w:val="00427B2C"/>
    <w:rsid w:val="00431503"/>
    <w:rsid w:val="00436ED5"/>
    <w:rsid w:val="00440B8D"/>
    <w:rsid w:val="00447434"/>
    <w:rsid w:val="004577E9"/>
    <w:rsid w:val="00465309"/>
    <w:rsid w:val="004843BE"/>
    <w:rsid w:val="004B3B55"/>
    <w:rsid w:val="004E0BE5"/>
    <w:rsid w:val="004F3BBF"/>
    <w:rsid w:val="004F7957"/>
    <w:rsid w:val="004F7CFA"/>
    <w:rsid w:val="005051BB"/>
    <w:rsid w:val="00517341"/>
    <w:rsid w:val="00525D2E"/>
    <w:rsid w:val="005406BB"/>
    <w:rsid w:val="00547BF7"/>
    <w:rsid w:val="00551C6F"/>
    <w:rsid w:val="00570A43"/>
    <w:rsid w:val="00577D03"/>
    <w:rsid w:val="00581895"/>
    <w:rsid w:val="0059541B"/>
    <w:rsid w:val="005B0E65"/>
    <w:rsid w:val="005B6C55"/>
    <w:rsid w:val="005E6A47"/>
    <w:rsid w:val="00614503"/>
    <w:rsid w:val="00614632"/>
    <w:rsid w:val="00625826"/>
    <w:rsid w:val="00633056"/>
    <w:rsid w:val="00646CDE"/>
    <w:rsid w:val="006557A6"/>
    <w:rsid w:val="0066096E"/>
    <w:rsid w:val="006B1777"/>
    <w:rsid w:val="006B4C8F"/>
    <w:rsid w:val="006B7AFB"/>
    <w:rsid w:val="006E165F"/>
    <w:rsid w:val="006F29BD"/>
    <w:rsid w:val="007118CA"/>
    <w:rsid w:val="00712C34"/>
    <w:rsid w:val="00725451"/>
    <w:rsid w:val="007377E8"/>
    <w:rsid w:val="0074379A"/>
    <w:rsid w:val="00750DB7"/>
    <w:rsid w:val="007531B2"/>
    <w:rsid w:val="0076017E"/>
    <w:rsid w:val="00766A71"/>
    <w:rsid w:val="0077578F"/>
    <w:rsid w:val="00784949"/>
    <w:rsid w:val="00787B28"/>
    <w:rsid w:val="00790CAC"/>
    <w:rsid w:val="00793206"/>
    <w:rsid w:val="0079358E"/>
    <w:rsid w:val="00793633"/>
    <w:rsid w:val="007C043A"/>
    <w:rsid w:val="007E71FA"/>
    <w:rsid w:val="007F639E"/>
    <w:rsid w:val="007F77CA"/>
    <w:rsid w:val="008251C4"/>
    <w:rsid w:val="00826688"/>
    <w:rsid w:val="008748B9"/>
    <w:rsid w:val="00880A13"/>
    <w:rsid w:val="008858DF"/>
    <w:rsid w:val="008A04A0"/>
    <w:rsid w:val="008A361F"/>
    <w:rsid w:val="008C359E"/>
    <w:rsid w:val="008E1A5C"/>
    <w:rsid w:val="008E6939"/>
    <w:rsid w:val="00902C7A"/>
    <w:rsid w:val="00911F48"/>
    <w:rsid w:val="00960403"/>
    <w:rsid w:val="00960DD9"/>
    <w:rsid w:val="00986AE8"/>
    <w:rsid w:val="009A0208"/>
    <w:rsid w:val="009B4EBC"/>
    <w:rsid w:val="009B5618"/>
    <w:rsid w:val="009D254D"/>
    <w:rsid w:val="009D3653"/>
    <w:rsid w:val="009E080F"/>
    <w:rsid w:val="009E6484"/>
    <w:rsid w:val="009F467A"/>
    <w:rsid w:val="009F7AB4"/>
    <w:rsid w:val="00A16875"/>
    <w:rsid w:val="00A17591"/>
    <w:rsid w:val="00A206E2"/>
    <w:rsid w:val="00A20CFF"/>
    <w:rsid w:val="00A4155C"/>
    <w:rsid w:val="00A50F89"/>
    <w:rsid w:val="00A62CD6"/>
    <w:rsid w:val="00A718F1"/>
    <w:rsid w:val="00A82C20"/>
    <w:rsid w:val="00A833E6"/>
    <w:rsid w:val="00A90BD6"/>
    <w:rsid w:val="00A9560E"/>
    <w:rsid w:val="00AA672B"/>
    <w:rsid w:val="00AC43E7"/>
    <w:rsid w:val="00AC658A"/>
    <w:rsid w:val="00AE010A"/>
    <w:rsid w:val="00AE7EA9"/>
    <w:rsid w:val="00AF35D6"/>
    <w:rsid w:val="00AF3B3A"/>
    <w:rsid w:val="00B12170"/>
    <w:rsid w:val="00B248A1"/>
    <w:rsid w:val="00B60D5C"/>
    <w:rsid w:val="00B87BDD"/>
    <w:rsid w:val="00B90754"/>
    <w:rsid w:val="00B96361"/>
    <w:rsid w:val="00BA68ED"/>
    <w:rsid w:val="00BC21C2"/>
    <w:rsid w:val="00BD4844"/>
    <w:rsid w:val="00BE00DC"/>
    <w:rsid w:val="00BE2C66"/>
    <w:rsid w:val="00BE36F1"/>
    <w:rsid w:val="00C12936"/>
    <w:rsid w:val="00C15DD2"/>
    <w:rsid w:val="00C23F7B"/>
    <w:rsid w:val="00C401B0"/>
    <w:rsid w:val="00C530FA"/>
    <w:rsid w:val="00C63B3B"/>
    <w:rsid w:val="00C71480"/>
    <w:rsid w:val="00C73D35"/>
    <w:rsid w:val="00C96E24"/>
    <w:rsid w:val="00C97273"/>
    <w:rsid w:val="00CB24CC"/>
    <w:rsid w:val="00CE1141"/>
    <w:rsid w:val="00CE163C"/>
    <w:rsid w:val="00CF39CB"/>
    <w:rsid w:val="00CF66DF"/>
    <w:rsid w:val="00D013AC"/>
    <w:rsid w:val="00D03BE0"/>
    <w:rsid w:val="00D071C4"/>
    <w:rsid w:val="00D10FC1"/>
    <w:rsid w:val="00D1286C"/>
    <w:rsid w:val="00D31641"/>
    <w:rsid w:val="00D47BC7"/>
    <w:rsid w:val="00D858A9"/>
    <w:rsid w:val="00DA6C2C"/>
    <w:rsid w:val="00DB07F3"/>
    <w:rsid w:val="00DB6BD2"/>
    <w:rsid w:val="00DC0B6B"/>
    <w:rsid w:val="00DC408A"/>
    <w:rsid w:val="00DD3A7D"/>
    <w:rsid w:val="00DE4040"/>
    <w:rsid w:val="00DF3D1C"/>
    <w:rsid w:val="00DF5EC3"/>
    <w:rsid w:val="00E01BEF"/>
    <w:rsid w:val="00E22258"/>
    <w:rsid w:val="00E339FC"/>
    <w:rsid w:val="00E4349C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F2088D"/>
    <w:rsid w:val="00F25507"/>
    <w:rsid w:val="00F26A13"/>
    <w:rsid w:val="00F26F1C"/>
    <w:rsid w:val="00F37C7C"/>
    <w:rsid w:val="00F41AF7"/>
    <w:rsid w:val="00F47E73"/>
    <w:rsid w:val="00F56467"/>
    <w:rsid w:val="00F7068A"/>
    <w:rsid w:val="00F72163"/>
    <w:rsid w:val="00F72246"/>
    <w:rsid w:val="00F84FB0"/>
    <w:rsid w:val="00F87C0F"/>
    <w:rsid w:val="00FA3EE1"/>
    <w:rsid w:val="00FA4555"/>
    <w:rsid w:val="00FB556C"/>
    <w:rsid w:val="00FD319B"/>
    <w:rsid w:val="00FE7EDA"/>
    <w:rsid w:val="0322C9A0"/>
    <w:rsid w:val="48536DD6"/>
    <w:rsid w:val="4A2E450B"/>
    <w:rsid w:val="7B6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B8049"/>
  <w15:docId w15:val="{EA023458-F8B8-4341-A789-F5647B61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DDA0D87E9D84EB2C9CA6D985237F9" ma:contentTypeVersion="6" ma:contentTypeDescription="Create a new document." ma:contentTypeScope="" ma:versionID="e067545089879152a55a8a77b180483f">
  <xsd:schema xmlns:xsd="http://www.w3.org/2001/XMLSchema" xmlns:xs="http://www.w3.org/2001/XMLSchema" xmlns:p="http://schemas.microsoft.com/office/2006/metadata/properties" xmlns:ns2="a0adcf50-6f60-4068-969b-87e81db42db1" xmlns:ns3="a2ea2f5c-5cef-45bd-b50f-c2837a098668" targetNamespace="http://schemas.microsoft.com/office/2006/metadata/properties" ma:root="true" ma:fieldsID="36d7828b4c7d31733d6f9a2ef37ede1f" ns2:_="" ns3:_="">
    <xsd:import namespace="a0adcf50-6f60-4068-969b-87e81db42db1"/>
    <xsd:import namespace="a2ea2f5c-5cef-45bd-b50f-c2837a098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dcf50-6f60-4068-969b-87e81db4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a2f5c-5cef-45bd-b50f-c2837a098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950EEE-8ACD-44BE-B4D9-E8B56D588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dcf50-6f60-4068-969b-87e81db42db1"/>
    <ds:schemaRef ds:uri="a2ea2f5c-5cef-45bd-b50f-c2837a098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Leah Robertson</cp:lastModifiedBy>
  <cp:revision>7</cp:revision>
  <cp:lastPrinted>2018-08-03T08:51:00Z</cp:lastPrinted>
  <dcterms:created xsi:type="dcterms:W3CDTF">2022-10-17T10:30:00Z</dcterms:created>
  <dcterms:modified xsi:type="dcterms:W3CDTF">2022-10-18T11:53:00Z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0x0101008D9DDA0D87E9D84EB2C9CA6D985237F9</vt:lpwstr>
  </property>
  <property fmtid="{D5CDD505-2E9C-101B-9397-08002B2CF9AE}" pid="3" name="MSIP_Label_ebfa061d-e84e-49c5-87e7-e2a61069a670_Enabled">
    <vt:lpwstr>true</vt:lpwstr>
  </property>
  <property fmtid="{D5CDD505-2E9C-101B-9397-08002B2CF9AE}" pid="4" name="MSIP_Label_ebfa061d-e84e-49c5-87e7-e2a61069a670_SetDate">
    <vt:lpwstr>2022-07-14T12:57:48Z</vt:lpwstr>
  </property>
  <property fmtid="{D5CDD505-2E9C-101B-9397-08002B2CF9AE}" pid="5" name="MSIP_Label_ebfa061d-e84e-49c5-87e7-e2a61069a670_Method">
    <vt:lpwstr>Standard</vt:lpwstr>
  </property>
  <property fmtid="{D5CDD505-2E9C-101B-9397-08002B2CF9AE}" pid="6" name="MSIP_Label_ebfa061d-e84e-49c5-87e7-e2a61069a670_Name">
    <vt:lpwstr>GREEN</vt:lpwstr>
  </property>
  <property fmtid="{D5CDD505-2E9C-101B-9397-08002B2CF9AE}" pid="7" name="MSIP_Label_ebfa061d-e84e-49c5-87e7-e2a61069a670_SiteId">
    <vt:lpwstr>0e3b206e-48d1-4e3a-b599-5e7daeec0bb0</vt:lpwstr>
  </property>
  <property fmtid="{D5CDD505-2E9C-101B-9397-08002B2CF9AE}" pid="8" name="MSIP_Label_ebfa061d-e84e-49c5-87e7-e2a61069a670_ActionId">
    <vt:lpwstr>c08adc75-9fc6-45d4-b7d8-56ab4ebcb1d3</vt:lpwstr>
  </property>
  <property fmtid="{D5CDD505-2E9C-101B-9397-08002B2CF9AE}" pid="9" name="MSIP_Label_ebfa061d-e84e-49c5-87e7-e2a61069a670_ContentBits">
    <vt:lpwstr>2</vt:lpwstr>
  </property>
</Properties>
</file>