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0F" w:rsidRPr="006B1777" w:rsidRDefault="004F4A0F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4F4A0F" w:rsidRPr="002070DE" w:rsidRDefault="004F4A0F" w:rsidP="00A62CD6">
      <w:pPr>
        <w:spacing w:after="0" w:line="240" w:lineRule="auto"/>
        <w:rPr>
          <w:rFonts w:cs="Calibri"/>
        </w:rPr>
      </w:pPr>
    </w:p>
    <w:tbl>
      <w:tblPr>
        <w:tblW w:w="98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6"/>
        <w:gridCol w:w="3058"/>
        <w:gridCol w:w="5116"/>
      </w:tblGrid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  <w:r w:rsidRPr="00BC4385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EE0098" w:rsidP="001319A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Reward </w:t>
            </w:r>
            <w:r w:rsidR="001319AA">
              <w:rPr>
                <w:rFonts w:cs="Calibri"/>
              </w:rPr>
              <w:t>Analyst</w:t>
            </w: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Sector/Function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EE0098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Central Services</w:t>
            </w: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98" w:rsidRPr="00BC4385" w:rsidRDefault="00EE0098" w:rsidP="006C390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People </w:t>
            </w:r>
            <w:r w:rsidR="006C3905">
              <w:rPr>
                <w:rFonts w:cs="Calibri"/>
              </w:rPr>
              <w:t>Team</w:t>
            </w: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6C3905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People</w:t>
            </w:r>
            <w:r w:rsidR="00EE0098">
              <w:rPr>
                <w:rFonts w:cs="Calibri"/>
              </w:rPr>
              <w:t xml:space="preserve"> Systems Manager</w:t>
            </w: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DE0A9C" w:rsidRDefault="00EE0098" w:rsidP="00E75EF4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4</w:t>
            </w: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</w:p>
        </w:tc>
      </w:tr>
      <w:tr w:rsidR="004F4A0F" w:rsidRPr="002070DE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A" w:rsidRDefault="00883CC1" w:rsidP="00FE6B2A">
            <w:r w:rsidRPr="00653300">
              <w:t>This role works alon</w:t>
            </w:r>
            <w:r w:rsidR="00DB6508" w:rsidRPr="00653300">
              <w:t xml:space="preserve">gside the </w:t>
            </w:r>
            <w:r w:rsidR="00EE0098" w:rsidRPr="00653300">
              <w:t>People</w:t>
            </w:r>
            <w:r w:rsidR="00E4223E">
              <w:t xml:space="preserve"> t</w:t>
            </w:r>
            <w:r w:rsidR="00EE0098" w:rsidRPr="00653300">
              <w:t xml:space="preserve">eam </w:t>
            </w:r>
            <w:r w:rsidR="00B21965" w:rsidRPr="00653300">
              <w:t>to</w:t>
            </w:r>
            <w:r w:rsidR="002302BC" w:rsidRPr="00653300">
              <w:t xml:space="preserve"> understand the Total </w:t>
            </w:r>
            <w:r w:rsidR="00FE6B2A">
              <w:t xml:space="preserve">Reward Package at Turning Point and </w:t>
            </w:r>
            <w:r w:rsidR="0056595A">
              <w:t>support</w:t>
            </w:r>
            <w:r w:rsidR="00534B0F" w:rsidRPr="00653300">
              <w:t xml:space="preserve"> in</w:t>
            </w:r>
            <w:r w:rsidR="00B21965" w:rsidRPr="00653300">
              <w:t xml:space="preserve"> </w:t>
            </w:r>
            <w:r w:rsidR="00534B0F" w:rsidRPr="00653300">
              <w:t xml:space="preserve">building </w:t>
            </w:r>
            <w:r w:rsidR="006C3905">
              <w:t>the</w:t>
            </w:r>
            <w:r w:rsidR="00534B0F" w:rsidRPr="00653300">
              <w:t xml:space="preserve"> Reward Strategy for the future which</w:t>
            </w:r>
            <w:r w:rsidR="002302BC" w:rsidRPr="00653300">
              <w:t xml:space="preserve"> </w:t>
            </w:r>
            <w:r w:rsidR="008115BC">
              <w:t>will allow</w:t>
            </w:r>
            <w:r w:rsidR="002302BC" w:rsidRPr="00653300">
              <w:t xml:space="preserve"> us to attract and retain gr</w:t>
            </w:r>
            <w:r w:rsidR="00F96E31" w:rsidRPr="00653300">
              <w:t>eat people</w:t>
            </w:r>
            <w:r w:rsidR="00FE6B2A">
              <w:t xml:space="preserve">. </w:t>
            </w:r>
          </w:p>
          <w:p w:rsidR="00FE6B2A" w:rsidRPr="0099342B" w:rsidRDefault="00E4223E" w:rsidP="008115BC">
            <w:r>
              <w:t>The</w:t>
            </w:r>
            <w:r w:rsidR="00FE6B2A">
              <w:t xml:space="preserve"> role will be responsible for completing a comprehensive analysis of where we are in the market place across all compensation and benefits packages for our contracts and suggests areas for alignment/improvement</w:t>
            </w:r>
            <w:r w:rsidR="008115BC">
              <w:t xml:space="preserve"> which will drive the overall strategy. </w:t>
            </w:r>
          </w:p>
        </w:tc>
      </w:tr>
      <w:tr w:rsidR="004F4A0F" w:rsidRPr="00303897" w:rsidTr="00BC4385"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A0F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Key accountabilities</w:t>
            </w:r>
          </w:p>
          <w:p w:rsidR="00883CC1" w:rsidRPr="00BC4385" w:rsidRDefault="00883CC1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5" w:rsidRDefault="00534B0F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Reward Strategy:</w:t>
            </w:r>
          </w:p>
          <w:p w:rsidR="009403FA" w:rsidRDefault="00C7375B" w:rsidP="007F3CC2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Play a key role in developing the</w:t>
            </w:r>
            <w:r w:rsidR="009403FA">
              <w:rPr>
                <w:rFonts w:cs="Calibri"/>
              </w:rPr>
              <w:t xml:space="preserve"> 1-3 years Reward Strategy at Turning Point advising the organisation on where improvements </w:t>
            </w:r>
            <w:r w:rsidR="006C3905">
              <w:rPr>
                <w:rFonts w:cs="Calibri"/>
              </w:rPr>
              <w:t>can be made</w:t>
            </w:r>
            <w:r w:rsidR="009403FA">
              <w:rPr>
                <w:rFonts w:cs="Calibri"/>
              </w:rPr>
              <w:t xml:space="preserve"> and how we get </w:t>
            </w:r>
            <w:r w:rsidR="006C3905">
              <w:rPr>
                <w:rFonts w:cs="Calibri"/>
              </w:rPr>
              <w:t xml:space="preserve">the </w:t>
            </w:r>
            <w:r w:rsidR="009403FA">
              <w:rPr>
                <w:rFonts w:cs="Calibri"/>
              </w:rPr>
              <w:t>best value for money and attract and retain great people</w:t>
            </w:r>
          </w:p>
          <w:p w:rsidR="00B21965" w:rsidRDefault="00B21965" w:rsidP="007F3CC2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Review </w:t>
            </w:r>
            <w:r w:rsidR="002302BC">
              <w:rPr>
                <w:rFonts w:cs="Calibri"/>
              </w:rPr>
              <w:t>of all compensation and benefits packages</w:t>
            </w:r>
            <w:r w:rsidR="00F7537E">
              <w:rPr>
                <w:rFonts w:cs="Calibri"/>
              </w:rPr>
              <w:t xml:space="preserve"> including pay scales</w:t>
            </w:r>
            <w:r w:rsidR="002302BC">
              <w:rPr>
                <w:rFonts w:cs="Calibri"/>
              </w:rPr>
              <w:t xml:space="preserve"> across Turning </w:t>
            </w:r>
            <w:r w:rsidR="006C3905">
              <w:rPr>
                <w:rFonts w:cs="Calibri"/>
              </w:rPr>
              <w:t xml:space="preserve">Point </w:t>
            </w:r>
            <w:r>
              <w:rPr>
                <w:rFonts w:cs="Calibri"/>
              </w:rPr>
              <w:t xml:space="preserve">for all grades </w:t>
            </w:r>
            <w:r w:rsidR="006C3905">
              <w:rPr>
                <w:rFonts w:cs="Calibri"/>
              </w:rPr>
              <w:t>across</w:t>
            </w:r>
            <w:r w:rsidR="00534B0F">
              <w:rPr>
                <w:rFonts w:cs="Calibri"/>
              </w:rPr>
              <w:t xml:space="preserve"> both clinical and non-clinical roles </w:t>
            </w:r>
            <w:r w:rsidR="00BB2F30">
              <w:rPr>
                <w:rFonts w:cs="Calibri"/>
              </w:rPr>
              <w:t xml:space="preserve">being clear with the business about the current </w:t>
            </w:r>
            <w:r w:rsidR="00534B0F">
              <w:rPr>
                <w:rFonts w:cs="Calibri"/>
              </w:rPr>
              <w:t>offering</w:t>
            </w:r>
            <w:r w:rsidR="00BB2F30">
              <w:rPr>
                <w:rFonts w:cs="Calibri"/>
              </w:rPr>
              <w:t xml:space="preserve"> </w:t>
            </w:r>
            <w:r w:rsidR="003B0FE4">
              <w:rPr>
                <w:rFonts w:cs="Calibri"/>
              </w:rPr>
              <w:t xml:space="preserve"> and have a plan in place to drive consistency</w:t>
            </w:r>
            <w:r w:rsidR="00F7537E">
              <w:rPr>
                <w:rFonts w:cs="Calibri"/>
              </w:rPr>
              <w:t xml:space="preserve">/harmonisation </w:t>
            </w:r>
            <w:r w:rsidR="003B0FE4">
              <w:rPr>
                <w:rFonts w:cs="Calibri"/>
              </w:rPr>
              <w:t xml:space="preserve"> </w:t>
            </w:r>
          </w:p>
          <w:p w:rsidR="00B21965" w:rsidRDefault="00BB2F30" w:rsidP="007F3CC2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Be clear on current industry norms for Compensation &amp; benefits across the sector and advise on where TP sits in relation to these</w:t>
            </w:r>
            <w:r w:rsidR="005231C4">
              <w:rPr>
                <w:rFonts w:cs="Calibri"/>
              </w:rPr>
              <w:t xml:space="preserve"> – and how we compete with those</w:t>
            </w:r>
            <w:r w:rsidR="00F7537E">
              <w:rPr>
                <w:rFonts w:cs="Calibri"/>
              </w:rPr>
              <w:t xml:space="preserve"> within our sector</w:t>
            </w:r>
            <w:r w:rsidR="00E4223E">
              <w:rPr>
                <w:rFonts w:cs="Calibri"/>
              </w:rPr>
              <w:t xml:space="preserve"> giving guidance, structural analysis, data modelling and cost analysis</w:t>
            </w:r>
          </w:p>
          <w:p w:rsidR="00BB2F30" w:rsidRDefault="006C3905" w:rsidP="007F3CC2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Understand and advise on</w:t>
            </w:r>
            <w:r w:rsidR="00F7537E">
              <w:rPr>
                <w:rFonts w:cs="Calibri"/>
              </w:rPr>
              <w:t xml:space="preserve"> </w:t>
            </w:r>
            <w:r w:rsidR="00BB2F30" w:rsidRPr="00BB2F30">
              <w:rPr>
                <w:rFonts w:cs="Calibri"/>
              </w:rPr>
              <w:t xml:space="preserve"> implications of National Minimum Wage </w:t>
            </w:r>
            <w:r w:rsidR="00F7537E">
              <w:rPr>
                <w:rFonts w:cs="Calibri"/>
              </w:rPr>
              <w:t xml:space="preserve"> increases </w:t>
            </w:r>
            <w:r w:rsidR="00BB2F30" w:rsidRPr="00BB2F30">
              <w:rPr>
                <w:rFonts w:cs="Calibri"/>
              </w:rPr>
              <w:t>and what that means for the organisation</w:t>
            </w:r>
            <w:r w:rsidR="00BB2F30">
              <w:rPr>
                <w:rFonts w:cs="Calibri"/>
              </w:rPr>
              <w:t xml:space="preserve"> </w:t>
            </w:r>
            <w:r w:rsidR="00F7537E">
              <w:rPr>
                <w:rFonts w:cs="Calibri"/>
              </w:rPr>
              <w:t>in terms of</w:t>
            </w:r>
            <w:r w:rsidR="00BB2F30">
              <w:rPr>
                <w:rFonts w:cs="Calibri"/>
              </w:rPr>
              <w:t xml:space="preserve"> the future </w:t>
            </w:r>
            <w:r>
              <w:rPr>
                <w:rFonts w:cs="Calibri"/>
              </w:rPr>
              <w:t>/</w:t>
            </w:r>
            <w:r w:rsidR="00BB2F30">
              <w:rPr>
                <w:rFonts w:cs="Calibri"/>
              </w:rPr>
              <w:t xml:space="preserve"> </w:t>
            </w:r>
            <w:r w:rsidR="00F7537E">
              <w:rPr>
                <w:rFonts w:cs="Calibri"/>
              </w:rPr>
              <w:t xml:space="preserve"> impacts on </w:t>
            </w:r>
            <w:r w:rsidR="00BB2F30">
              <w:rPr>
                <w:rFonts w:cs="Calibri"/>
              </w:rPr>
              <w:t xml:space="preserve">budgetary requirements </w:t>
            </w:r>
          </w:p>
          <w:p w:rsidR="00F7537E" w:rsidRDefault="00F7537E" w:rsidP="007F3CC2">
            <w:pPr>
              <w:pStyle w:val="ListParagraph"/>
              <w:numPr>
                <w:ilvl w:val="0"/>
                <w:numId w:val="3"/>
              </w:numPr>
              <w:rPr>
                <w:rFonts w:cs="Calibri"/>
              </w:rPr>
            </w:pPr>
            <w:r w:rsidRPr="00F7537E">
              <w:rPr>
                <w:rFonts w:cs="Calibri"/>
              </w:rPr>
              <w:t>Work with the engagement team to devise a plan on how we best recognise our employees across TP</w:t>
            </w:r>
          </w:p>
          <w:p w:rsidR="00B21965" w:rsidRDefault="00B21965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Sy</w:t>
            </w:r>
            <w:r w:rsidR="00534B0F">
              <w:rPr>
                <w:rFonts w:cs="Calibri"/>
              </w:rPr>
              <w:t>stems:</w:t>
            </w:r>
          </w:p>
          <w:p w:rsidR="00B21965" w:rsidRDefault="00B21965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Analysis of Terms and Conditions within systems to understand </w:t>
            </w:r>
            <w:r w:rsidR="006C3905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 xml:space="preserve">different </w:t>
            </w:r>
            <w:r w:rsidR="002632E2">
              <w:rPr>
                <w:rFonts w:cs="Calibri"/>
              </w:rPr>
              <w:t xml:space="preserve">elements employees are entitled </w:t>
            </w:r>
            <w:r w:rsidR="00F7537E">
              <w:rPr>
                <w:rFonts w:cs="Calibri"/>
              </w:rPr>
              <w:t xml:space="preserve">to </w:t>
            </w:r>
            <w:r w:rsidR="006C3905">
              <w:rPr>
                <w:rFonts w:cs="Calibri"/>
              </w:rPr>
              <w:t xml:space="preserve">as part of their compensation and benefits package </w:t>
            </w:r>
            <w:r w:rsidR="00F7537E">
              <w:rPr>
                <w:rFonts w:cs="Calibri"/>
              </w:rPr>
              <w:t>across all contracts</w:t>
            </w:r>
          </w:p>
          <w:p w:rsidR="00BB2F30" w:rsidRDefault="00F7537E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Develop  the principles by which the organisation can ensure that all of its employees have the correct packages assigned to their employee record </w:t>
            </w:r>
          </w:p>
          <w:p w:rsidR="002632E2" w:rsidRDefault="00BB2F30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Be clear on different Terms and conditions </w:t>
            </w:r>
            <w:r w:rsidR="00534B0F">
              <w:rPr>
                <w:rFonts w:cs="Calibri"/>
              </w:rPr>
              <w:t>from various TUPE’s into the organisation – aligning</w:t>
            </w:r>
            <w:r w:rsidR="003B5591">
              <w:rPr>
                <w:rFonts w:cs="Calibri"/>
              </w:rPr>
              <w:t xml:space="preserve"> / simplifying</w:t>
            </w:r>
            <w:r w:rsidR="00534B0F">
              <w:rPr>
                <w:rFonts w:cs="Calibri"/>
              </w:rPr>
              <w:t xml:space="preserve"> w</w:t>
            </w:r>
            <w:r w:rsidR="006C3905">
              <w:rPr>
                <w:rFonts w:cs="Calibri"/>
              </w:rPr>
              <w:t>h</w:t>
            </w:r>
            <w:r w:rsidR="00534B0F">
              <w:rPr>
                <w:rFonts w:cs="Calibri"/>
              </w:rPr>
              <w:t xml:space="preserve">ere we can and </w:t>
            </w:r>
            <w:r w:rsidR="003B5591">
              <w:rPr>
                <w:rFonts w:cs="Calibri"/>
              </w:rPr>
              <w:t xml:space="preserve">reviewing / updating the principles around TUPE Transfers from a benefits / compensation perspective </w:t>
            </w:r>
          </w:p>
          <w:p w:rsidR="006C3905" w:rsidRDefault="006C3905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Reviewing of terms and conditions to identify which ones are more attractive / expensive to the organisation  creating a reporting mechanism for this</w:t>
            </w:r>
          </w:p>
          <w:p w:rsidR="005231C4" w:rsidRDefault="005231C4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Deliver total reward statements for </w:t>
            </w:r>
            <w:r w:rsidR="003B5591">
              <w:rPr>
                <w:rFonts w:cs="Calibri"/>
              </w:rPr>
              <w:t>employees across all of TP</w:t>
            </w:r>
            <w:r>
              <w:rPr>
                <w:rFonts w:cs="Calibri"/>
              </w:rPr>
              <w:t xml:space="preserve"> </w:t>
            </w:r>
          </w:p>
          <w:p w:rsidR="00D9380E" w:rsidRDefault="003B5591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Build internal relationships across stakeholder groups to understand their requirements and ensure these are met and maintained </w:t>
            </w:r>
            <w:r w:rsidR="00AA164C">
              <w:rPr>
                <w:rFonts w:cs="Calibri"/>
              </w:rPr>
              <w:t>through the development of a HR Reward Matrix</w:t>
            </w:r>
          </w:p>
          <w:p w:rsidR="00FE6B2A" w:rsidRPr="00534B0F" w:rsidRDefault="00FE6B2A" w:rsidP="007F3CC2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Support in the processing of year end salary review data </w:t>
            </w:r>
            <w:r w:rsidR="006C3905">
              <w:rPr>
                <w:rFonts w:cs="Calibri"/>
              </w:rPr>
              <w:t>in</w:t>
            </w:r>
            <w:r>
              <w:rPr>
                <w:rFonts w:cs="Calibri"/>
              </w:rPr>
              <w:t xml:space="preserve"> the HR systems</w:t>
            </w:r>
          </w:p>
          <w:p w:rsidR="00B21965" w:rsidRDefault="002934EA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Job Evaluation</w:t>
            </w:r>
            <w:r w:rsidR="00534B0F">
              <w:rPr>
                <w:rFonts w:cs="Calibri"/>
              </w:rPr>
              <w:t>:</w:t>
            </w:r>
          </w:p>
          <w:p w:rsidR="00C7375B" w:rsidRDefault="00C7375B" w:rsidP="00C7375B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>
              <w:rPr>
                <w:rFonts w:cs="Calibri"/>
              </w:rPr>
              <w:t>Review Job Evaluation process and implement changes to make this more effective and streamlined across TP – being clear on how jobs are sized and priced</w:t>
            </w:r>
          </w:p>
          <w:p w:rsidR="008E6FE4" w:rsidRPr="001D1686" w:rsidRDefault="008E6FE4" w:rsidP="008E6FE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D1686">
              <w:rPr>
                <w:rFonts w:asciiTheme="minorHAnsi" w:eastAsia="Times New Roman" w:hAnsiTheme="minorHAnsi" w:cstheme="minorHAnsi"/>
                <w:lang w:eastAsia="en-GB"/>
              </w:rPr>
              <w:t xml:space="preserve">Evaluates promotions and compensation proposals for employees / new roles to ensure compensation proposals are in accordance with the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organisational guidance</w:t>
            </w:r>
            <w:r w:rsidRPr="001D1686">
              <w:rPr>
                <w:rFonts w:asciiTheme="minorHAnsi" w:eastAsia="Times New Roman" w:hAnsiTheme="minorHAnsi" w:cstheme="minorHAnsi"/>
                <w:lang w:eastAsia="en-GB"/>
              </w:rPr>
              <w:t>, the market, and internal equity</w:t>
            </w:r>
          </w:p>
          <w:p w:rsidR="002302BC" w:rsidRDefault="00D7149D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EVP:</w:t>
            </w:r>
          </w:p>
          <w:p w:rsidR="00AD537B" w:rsidRDefault="00AD537B" w:rsidP="007F3CC2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Support with the development and launch of the organisational EVP</w:t>
            </w:r>
          </w:p>
          <w:p w:rsidR="005B18F4" w:rsidRDefault="005B18F4" w:rsidP="007F3CC2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Leverage current offering to support in the attraction of great talent </w:t>
            </w:r>
          </w:p>
          <w:p w:rsidR="003B0FE4" w:rsidRDefault="003B0FE4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Reporting:</w:t>
            </w:r>
          </w:p>
          <w:p w:rsidR="003B0FE4" w:rsidRDefault="003B0FE4" w:rsidP="007F3CC2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Build a reporting matrix for use by HR to understand and be clear on requests and what data they hold</w:t>
            </w:r>
          </w:p>
          <w:p w:rsidR="003B0FE4" w:rsidRDefault="003B0FE4" w:rsidP="007F3CC2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Creation of reward compliance reports and presentation to the business / taking action on any concerns / next steps</w:t>
            </w:r>
          </w:p>
          <w:p w:rsidR="003B0FE4" w:rsidRDefault="003B0FE4" w:rsidP="007F3CC2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Delivering business ad-hoc regulatory requirements </w:t>
            </w:r>
            <w:r w:rsidR="00E43D99">
              <w:rPr>
                <w:rFonts w:cs="Calibri"/>
              </w:rPr>
              <w:t>for</w:t>
            </w:r>
            <w:r w:rsidR="007A4904">
              <w:rPr>
                <w:rFonts w:cs="Calibri"/>
              </w:rPr>
              <w:t xml:space="preserve"> internal and external</w:t>
            </w:r>
            <w:r w:rsidR="00E43D99">
              <w:rPr>
                <w:rFonts w:cs="Calibri"/>
              </w:rPr>
              <w:t xml:space="preserve"> reporting </w:t>
            </w:r>
          </w:p>
          <w:p w:rsidR="003B0FE4" w:rsidRDefault="003B0FE4" w:rsidP="007F3CC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Other:</w:t>
            </w:r>
          </w:p>
          <w:p w:rsidR="002934EA" w:rsidRDefault="00476D1B" w:rsidP="002934EA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>
              <w:rPr>
                <w:rFonts w:cs="Calibri"/>
              </w:rPr>
              <w:t>Responsible</w:t>
            </w:r>
            <w:r w:rsidR="003B0FE4">
              <w:rPr>
                <w:rFonts w:cs="Calibri"/>
              </w:rPr>
              <w:t xml:space="preserve"> for the management of e</w:t>
            </w:r>
            <w:r>
              <w:rPr>
                <w:rFonts w:cs="Calibri"/>
              </w:rPr>
              <w:t>x</w:t>
            </w:r>
            <w:r w:rsidR="003B0FE4">
              <w:rPr>
                <w:rFonts w:cs="Calibri"/>
              </w:rPr>
              <w:t xml:space="preserve">ternal relationships with suppliers </w:t>
            </w:r>
            <w:r w:rsidR="00C7375B">
              <w:rPr>
                <w:rFonts w:cs="Calibri"/>
              </w:rPr>
              <w:t>t</w:t>
            </w:r>
            <w:r w:rsidR="002934EA">
              <w:rPr>
                <w:rFonts w:cs="Calibri"/>
              </w:rPr>
              <w:t>ake the lead on projects from a reward perspective across the organisation</w:t>
            </w:r>
          </w:p>
          <w:p w:rsidR="001977B1" w:rsidRPr="002934EA" w:rsidRDefault="002934EA" w:rsidP="002934EA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>
              <w:rPr>
                <w:rFonts w:cs="Calibri"/>
              </w:rPr>
              <w:t>Work with the Business Partnering team on all new business to understand the implications on different Terms and Conditions that are joining TP being clear on our reward principles</w:t>
            </w:r>
          </w:p>
        </w:tc>
      </w:tr>
      <w:tr w:rsidR="004F4A0F" w:rsidRPr="00303897" w:rsidTr="00BC4385">
        <w:tc>
          <w:tcPr>
            <w:tcW w:w="9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A0F" w:rsidRDefault="004F4A0F" w:rsidP="00BC4385">
            <w:pPr>
              <w:spacing w:after="0" w:line="240" w:lineRule="auto"/>
              <w:rPr>
                <w:rFonts w:cs="Calibri"/>
              </w:rPr>
            </w:pPr>
          </w:p>
          <w:p w:rsidR="001977B1" w:rsidRPr="00BC4385" w:rsidRDefault="001977B1" w:rsidP="00BC4385">
            <w:pPr>
              <w:spacing w:after="0" w:line="240" w:lineRule="auto"/>
              <w:rPr>
                <w:rFonts w:cs="Calibri"/>
              </w:rPr>
            </w:pPr>
          </w:p>
        </w:tc>
      </w:tr>
      <w:tr w:rsidR="004F4A0F" w:rsidRPr="00303897" w:rsidTr="00BC4385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C4385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  <w:r w:rsidRPr="00BC4385">
              <w:rPr>
                <w:rFonts w:cs="Calibri"/>
              </w:rPr>
              <w:t>Direct reports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F" w:rsidRPr="00BC4385" w:rsidRDefault="00C7375B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People Systems Manager</w:t>
            </w:r>
            <w:r w:rsidR="00EE0098">
              <w:rPr>
                <w:rFonts w:cs="Calibri"/>
              </w:rPr>
              <w:t xml:space="preserve"> </w:t>
            </w:r>
          </w:p>
        </w:tc>
      </w:tr>
      <w:tr w:rsidR="004F4A0F" w:rsidRPr="00303897" w:rsidTr="00BC4385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  <w:r w:rsidRPr="00BC4385">
              <w:rPr>
                <w:rFonts w:cs="Calibri"/>
              </w:rPr>
              <w:t>Total staff overseen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None</w:t>
            </w:r>
          </w:p>
        </w:tc>
      </w:tr>
      <w:tr w:rsidR="004F4A0F" w:rsidRPr="00303897" w:rsidTr="00BC4385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F" w:rsidRPr="00BC4385" w:rsidRDefault="004F4A0F" w:rsidP="00BC4385">
            <w:pPr>
              <w:spacing w:after="0" w:line="240" w:lineRule="auto"/>
              <w:rPr>
                <w:rFonts w:cs="Calibri"/>
              </w:rPr>
            </w:pPr>
            <w:r w:rsidRPr="00BC4385">
              <w:rPr>
                <w:rFonts w:cs="Calibri"/>
              </w:rPr>
              <w:t>Internal contacts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E" w:rsidRDefault="00EE0098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Senior Managers</w:t>
            </w:r>
          </w:p>
          <w:p w:rsidR="00EE0098" w:rsidRDefault="00EE0098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Heads of Functions</w:t>
            </w:r>
          </w:p>
          <w:p w:rsidR="00EE0098" w:rsidRDefault="00EE0098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Finance</w:t>
            </w:r>
          </w:p>
          <w:p w:rsidR="0096375E" w:rsidRDefault="0096375E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Team Management</w:t>
            </w:r>
          </w:p>
          <w:p w:rsidR="0096375E" w:rsidRDefault="0096375E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Project Team</w:t>
            </w:r>
          </w:p>
          <w:p w:rsidR="00B42FDE" w:rsidRPr="00BC4385" w:rsidRDefault="00B42FDE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 w:rsidRPr="00EE0098">
              <w:rPr>
                <w:rFonts w:cs="Calibri"/>
              </w:rPr>
              <w:t>HR Team</w:t>
            </w:r>
          </w:p>
        </w:tc>
      </w:tr>
      <w:tr w:rsidR="002458AD" w:rsidRPr="00303897" w:rsidTr="00BC4385"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2458AD" w:rsidRPr="00BC4385" w:rsidRDefault="002458AD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D" w:rsidRPr="00BC4385" w:rsidRDefault="002458AD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Experience Required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D" w:rsidRDefault="002458AD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 used </w:t>
            </w:r>
            <w:r w:rsidR="00164C10">
              <w:rPr>
                <w:rFonts w:cs="Calibri"/>
              </w:rPr>
              <w:t>SAP B</w:t>
            </w:r>
            <w:r>
              <w:rPr>
                <w:rFonts w:cs="Calibri"/>
              </w:rPr>
              <w:t xml:space="preserve">usiness </w:t>
            </w:r>
            <w:r w:rsidR="00164C10">
              <w:rPr>
                <w:rFonts w:cs="Calibri"/>
              </w:rPr>
              <w:t>O</w:t>
            </w:r>
            <w:r>
              <w:rPr>
                <w:rFonts w:cs="Calibri"/>
              </w:rPr>
              <w:t>bjects or equivalent</w:t>
            </w:r>
            <w:r w:rsidR="00164C10">
              <w:rPr>
                <w:rFonts w:cs="Calibri"/>
              </w:rPr>
              <w:t xml:space="preserve"> analytics software</w:t>
            </w:r>
          </w:p>
          <w:p w:rsidR="002458AD" w:rsidRDefault="002458AD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3-5 years of experience in a reward role within a similar sector </w:t>
            </w:r>
          </w:p>
          <w:p w:rsidR="00653300" w:rsidRDefault="00653300" w:rsidP="00653300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Key relationship builder with external </w:t>
            </w:r>
            <w:r w:rsidR="00164C10">
              <w:rPr>
                <w:rFonts w:cs="Calibri"/>
              </w:rPr>
              <w:t xml:space="preserve">agencies </w:t>
            </w:r>
            <w:r>
              <w:rPr>
                <w:rFonts w:cs="Calibri"/>
              </w:rPr>
              <w:t>/ partners for benchmarking purposes</w:t>
            </w:r>
          </w:p>
          <w:p w:rsidR="00653300" w:rsidRPr="00653300" w:rsidRDefault="00653300" w:rsidP="00653300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>Commerciality</w:t>
            </w:r>
          </w:p>
        </w:tc>
      </w:tr>
      <w:tr w:rsidR="00653300" w:rsidRPr="00303897" w:rsidTr="00BC4385"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653300" w:rsidRPr="00BC4385" w:rsidRDefault="00653300" w:rsidP="00BC438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0" w:rsidRDefault="00653300" w:rsidP="00BC438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0" w:rsidRDefault="00653300" w:rsidP="007F3C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Previous experience of working within LA/NHS contracts would be desirable </w:t>
            </w:r>
          </w:p>
        </w:tc>
      </w:tr>
      <w:tr w:rsidR="0091283A" w:rsidRPr="00303897" w:rsidTr="00BC4385"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91283A" w:rsidRPr="00BC4385" w:rsidRDefault="0091283A" w:rsidP="00BC438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Skills Required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A" w:rsidRDefault="0091283A" w:rsidP="00BC438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A" w:rsidRPr="0091283A" w:rsidRDefault="0091283A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 w:rsidRPr="0091283A">
              <w:rPr>
                <w:rFonts w:asciiTheme="minorHAnsi" w:eastAsia="Times New Roman" w:hAnsiTheme="minorHAnsi" w:cstheme="minorHAnsi"/>
                <w:lang w:eastAsia="en-GB"/>
              </w:rPr>
              <w:t>Highly analytical.</w:t>
            </w:r>
          </w:p>
          <w:p w:rsidR="0091283A" w:rsidRPr="0091283A" w:rsidRDefault="0091283A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 w:rsidRPr="0091283A">
              <w:rPr>
                <w:rFonts w:asciiTheme="minorHAnsi" w:eastAsia="Times New Roman" w:hAnsiTheme="minorHAnsi" w:cstheme="minorHAnsi"/>
                <w:lang w:eastAsia="en-GB"/>
              </w:rPr>
              <w:t>Results orientated</w:t>
            </w:r>
          </w:p>
          <w:p w:rsidR="0091283A" w:rsidRPr="0091283A" w:rsidRDefault="00A80B6F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Attention to detail</w:t>
            </w:r>
          </w:p>
          <w:p w:rsidR="0091283A" w:rsidRPr="0091283A" w:rsidRDefault="0091283A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 w:rsidRPr="0091283A">
              <w:rPr>
                <w:rFonts w:asciiTheme="minorHAnsi" w:eastAsia="Times New Roman" w:hAnsiTheme="minorHAnsi" w:cstheme="minorHAnsi"/>
                <w:lang w:eastAsia="en-GB"/>
              </w:rPr>
              <w:t xml:space="preserve">Demonstrate </w:t>
            </w:r>
            <w:r w:rsidR="00A80B6F">
              <w:rPr>
                <w:rFonts w:asciiTheme="minorHAnsi" w:eastAsia="Times New Roman" w:hAnsiTheme="minorHAnsi" w:cstheme="minorHAnsi"/>
                <w:lang w:eastAsia="en-GB"/>
              </w:rPr>
              <w:t>authenticity</w:t>
            </w:r>
            <w:r w:rsidRPr="0091283A">
              <w:rPr>
                <w:rFonts w:asciiTheme="minorHAnsi" w:eastAsia="Times New Roman" w:hAnsiTheme="minorHAnsi" w:cstheme="minorHAnsi"/>
                <w:lang w:eastAsia="en-GB"/>
              </w:rPr>
              <w:t>, initiative and confidentiality on all matters.</w:t>
            </w:r>
          </w:p>
          <w:p w:rsidR="00A80B6F" w:rsidRDefault="00A80B6F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 w:rsidRPr="00A80B6F">
              <w:rPr>
                <w:rFonts w:asciiTheme="minorHAnsi" w:eastAsia="Times New Roman" w:hAnsiTheme="minorHAnsi" w:cstheme="minorHAnsi"/>
                <w:lang w:eastAsia="en-GB"/>
              </w:rPr>
              <w:t xml:space="preserve">Strong numerical skills and highly developed analytical skills, </w:t>
            </w:r>
          </w:p>
          <w:p w:rsidR="006C3905" w:rsidRDefault="00A80B6F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The a</w:t>
            </w:r>
            <w:r w:rsidRPr="00A80B6F">
              <w:rPr>
                <w:rFonts w:asciiTheme="minorHAnsi" w:eastAsia="Times New Roman" w:hAnsiTheme="minorHAnsi" w:cstheme="minorHAnsi"/>
                <w:lang w:eastAsia="en-GB"/>
              </w:rPr>
              <w:t>bility to identify and interpret trends and issues, are essential.</w:t>
            </w:r>
          </w:p>
          <w:p w:rsidR="006C3905" w:rsidRPr="006C3905" w:rsidRDefault="006C3905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Extensive experience of all Microsoft packages</w:t>
            </w:r>
          </w:p>
          <w:p w:rsidR="0091283A" w:rsidRPr="0091283A" w:rsidRDefault="0091283A" w:rsidP="006C390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rPr>
                <w:rFonts w:asciiTheme="minorHAnsi" w:eastAsia="Times New Roman" w:hAnsiTheme="minorHAnsi" w:cstheme="minorHAnsi"/>
                <w:color w:val="4A4A4A"/>
                <w:lang w:eastAsia="en-GB"/>
              </w:rPr>
            </w:pPr>
            <w:r w:rsidRPr="0091283A">
              <w:rPr>
                <w:rFonts w:asciiTheme="minorHAnsi" w:eastAsia="Times New Roman" w:hAnsiTheme="minorHAnsi" w:cstheme="minorHAnsi"/>
                <w:lang w:eastAsia="en-GB"/>
              </w:rPr>
              <w:t>Ability to work flexibly</w:t>
            </w:r>
          </w:p>
        </w:tc>
      </w:tr>
    </w:tbl>
    <w:p w:rsidR="004F4A0F" w:rsidRPr="00EB3211" w:rsidRDefault="004F4A0F" w:rsidP="00A62CD6">
      <w:pPr>
        <w:spacing w:after="0" w:line="240" w:lineRule="auto"/>
      </w:pPr>
    </w:p>
    <w:sectPr w:rsidR="004F4A0F" w:rsidRPr="00EB3211" w:rsidSect="00311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077" w:bottom="0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DF" w:rsidRDefault="00E522DF" w:rsidP="008C359E">
      <w:pPr>
        <w:spacing w:after="0" w:line="240" w:lineRule="auto"/>
      </w:pPr>
      <w:r>
        <w:separator/>
      </w:r>
    </w:p>
  </w:endnote>
  <w:endnote w:type="continuationSeparator" w:id="0">
    <w:p w:rsidR="00E522DF" w:rsidRDefault="00E522DF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4F4A0F" w:rsidRPr="00A9560E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:rsidR="004F4A0F" w:rsidRPr="00A9560E" w:rsidRDefault="008A698B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0FF8" w:rsidRPr="00130FF8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:rsidR="004F4A0F" w:rsidRPr="00A9560E" w:rsidRDefault="004F4A0F" w:rsidP="00061BC9">
          <w:pPr>
            <w:pStyle w:val="Footer"/>
            <w:jc w:val="right"/>
          </w:pPr>
        </w:p>
      </w:tc>
    </w:tr>
  </w:tbl>
  <w:p w:rsidR="004F4A0F" w:rsidRDefault="004F4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4F4A0F" w:rsidRPr="00A9560E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:rsidR="004F4A0F" w:rsidRPr="00A9560E" w:rsidRDefault="004F4A0F" w:rsidP="00061BC9">
          <w:pPr>
            <w:pStyle w:val="Footer"/>
          </w:pP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:rsidR="004F4A0F" w:rsidRPr="0001692C" w:rsidRDefault="004F4A0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130FF8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4F4A0F" w:rsidRDefault="004F4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DF" w:rsidRDefault="00E522DF" w:rsidP="008C359E">
      <w:pPr>
        <w:spacing w:after="0" w:line="240" w:lineRule="auto"/>
      </w:pPr>
      <w:r>
        <w:separator/>
      </w:r>
    </w:p>
  </w:footnote>
  <w:footnote w:type="continuationSeparator" w:id="0">
    <w:p w:rsidR="00E522DF" w:rsidRDefault="00E522DF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4F4A0F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F4A0F" w:rsidRPr="00A9560E" w:rsidRDefault="004F4A0F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:rsidR="004F4A0F" w:rsidRPr="00A9560E" w:rsidRDefault="004F4A0F" w:rsidP="00C15DD2">
          <w:pPr>
            <w:pStyle w:val="Header"/>
            <w:rPr>
              <w:caps/>
              <w:color w:val="FFFFFF"/>
            </w:rPr>
          </w:pPr>
        </w:p>
      </w:tc>
    </w:tr>
  </w:tbl>
  <w:p w:rsidR="004F4A0F" w:rsidRDefault="004F4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8329"/>
      <w:gridCol w:w="1639"/>
    </w:tblGrid>
    <w:tr w:rsidR="004F4A0F" w:rsidRPr="00A9560E" w:rsidTr="00594335">
      <w:trPr>
        <w:trHeight w:val="475"/>
      </w:trPr>
      <w:tc>
        <w:tcPr>
          <w:tcW w:w="4178" w:type="pct"/>
          <w:shd w:val="clear" w:color="auto" w:fill="FF0000"/>
          <w:vAlign w:val="center"/>
        </w:tcPr>
        <w:p w:rsidR="004F4A0F" w:rsidRPr="00A9560E" w:rsidRDefault="004F4A0F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822" w:type="pct"/>
          <w:shd w:val="clear" w:color="auto" w:fill="000000"/>
          <w:vAlign w:val="center"/>
        </w:tcPr>
        <w:p w:rsidR="004F4A0F" w:rsidRPr="00A9560E" w:rsidRDefault="009403FA" w:rsidP="00633E34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May 2020</w:t>
          </w:r>
        </w:p>
      </w:tc>
    </w:tr>
  </w:tbl>
  <w:p w:rsidR="004F4A0F" w:rsidRDefault="004F4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F" w:rsidRDefault="004F4A0F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11F"/>
    <w:multiLevelType w:val="hybridMultilevel"/>
    <w:tmpl w:val="14568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E719B6"/>
    <w:multiLevelType w:val="hybridMultilevel"/>
    <w:tmpl w:val="1406AC5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249112C5"/>
    <w:multiLevelType w:val="hybridMultilevel"/>
    <w:tmpl w:val="949E0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EC1524"/>
    <w:multiLevelType w:val="hybridMultilevel"/>
    <w:tmpl w:val="DE1EB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BE5111"/>
    <w:multiLevelType w:val="hybridMultilevel"/>
    <w:tmpl w:val="B73C226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1F0AD3E">
      <w:numFmt w:val="bullet"/>
      <w:lvlText w:val="-"/>
      <w:lvlJc w:val="left"/>
      <w:pPr>
        <w:ind w:left="2340" w:hanging="360"/>
      </w:pPr>
      <w:rPr>
        <w:rFonts w:ascii="OpenSans-Light" w:eastAsia="Times New Roman" w:hAnsi="OpenSans-Light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BF311B"/>
    <w:multiLevelType w:val="hybridMultilevel"/>
    <w:tmpl w:val="225ED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394B7D"/>
    <w:multiLevelType w:val="hybridMultilevel"/>
    <w:tmpl w:val="F678F034"/>
    <w:lvl w:ilvl="0" w:tplc="AC98D222">
      <w:start w:val="1"/>
      <w:numFmt w:val="decimal"/>
      <w:lvlText w:val="%1)"/>
      <w:lvlJc w:val="left"/>
      <w:pPr>
        <w:ind w:left="41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37F3C"/>
    <w:rsid w:val="0005222D"/>
    <w:rsid w:val="00061BC9"/>
    <w:rsid w:val="00091FD6"/>
    <w:rsid w:val="000A65A0"/>
    <w:rsid w:val="000B40C8"/>
    <w:rsid w:val="000D5F44"/>
    <w:rsid w:val="00100AEA"/>
    <w:rsid w:val="0010675D"/>
    <w:rsid w:val="001239D2"/>
    <w:rsid w:val="00123DC5"/>
    <w:rsid w:val="00130FF8"/>
    <w:rsid w:val="001319AA"/>
    <w:rsid w:val="00132550"/>
    <w:rsid w:val="00146D96"/>
    <w:rsid w:val="00147B3A"/>
    <w:rsid w:val="001560F1"/>
    <w:rsid w:val="00164C10"/>
    <w:rsid w:val="00180142"/>
    <w:rsid w:val="001977B1"/>
    <w:rsid w:val="001A2B21"/>
    <w:rsid w:val="001A64C7"/>
    <w:rsid w:val="001B76B8"/>
    <w:rsid w:val="001C1B66"/>
    <w:rsid w:val="001D1686"/>
    <w:rsid w:val="001D740B"/>
    <w:rsid w:val="001E0D2F"/>
    <w:rsid w:val="001F18F7"/>
    <w:rsid w:val="001F542D"/>
    <w:rsid w:val="002070DE"/>
    <w:rsid w:val="0022253E"/>
    <w:rsid w:val="00223D44"/>
    <w:rsid w:val="00223E6F"/>
    <w:rsid w:val="0022716A"/>
    <w:rsid w:val="002302BC"/>
    <w:rsid w:val="0024250A"/>
    <w:rsid w:val="002458AD"/>
    <w:rsid w:val="00247E58"/>
    <w:rsid w:val="0025661D"/>
    <w:rsid w:val="00256DD6"/>
    <w:rsid w:val="00262F2D"/>
    <w:rsid w:val="002632E2"/>
    <w:rsid w:val="002653EF"/>
    <w:rsid w:val="002700CC"/>
    <w:rsid w:val="002728DE"/>
    <w:rsid w:val="002847FB"/>
    <w:rsid w:val="002854EC"/>
    <w:rsid w:val="002934EA"/>
    <w:rsid w:val="002A195F"/>
    <w:rsid w:val="002A6614"/>
    <w:rsid w:val="002C53B5"/>
    <w:rsid w:val="002D5D8E"/>
    <w:rsid w:val="00303897"/>
    <w:rsid w:val="003104B4"/>
    <w:rsid w:val="00311833"/>
    <w:rsid w:val="003338F3"/>
    <w:rsid w:val="00335C7D"/>
    <w:rsid w:val="00340E34"/>
    <w:rsid w:val="00346E72"/>
    <w:rsid w:val="00350275"/>
    <w:rsid w:val="00352E8B"/>
    <w:rsid w:val="0035417D"/>
    <w:rsid w:val="00360637"/>
    <w:rsid w:val="00362B2B"/>
    <w:rsid w:val="0037420E"/>
    <w:rsid w:val="003754A7"/>
    <w:rsid w:val="00380746"/>
    <w:rsid w:val="00380805"/>
    <w:rsid w:val="00390042"/>
    <w:rsid w:val="003A632B"/>
    <w:rsid w:val="003B0FE4"/>
    <w:rsid w:val="003B5591"/>
    <w:rsid w:val="003C472A"/>
    <w:rsid w:val="003D2AEA"/>
    <w:rsid w:val="003D42F4"/>
    <w:rsid w:val="003F5A42"/>
    <w:rsid w:val="00412511"/>
    <w:rsid w:val="00426054"/>
    <w:rsid w:val="00430BD4"/>
    <w:rsid w:val="00430F8F"/>
    <w:rsid w:val="00431503"/>
    <w:rsid w:val="00436ED5"/>
    <w:rsid w:val="00440B8D"/>
    <w:rsid w:val="00447434"/>
    <w:rsid w:val="00461C80"/>
    <w:rsid w:val="00464018"/>
    <w:rsid w:val="00476D1B"/>
    <w:rsid w:val="004843BE"/>
    <w:rsid w:val="004A5252"/>
    <w:rsid w:val="004B429F"/>
    <w:rsid w:val="004C13DE"/>
    <w:rsid w:val="004D4362"/>
    <w:rsid w:val="004F4A0F"/>
    <w:rsid w:val="005051BB"/>
    <w:rsid w:val="00512134"/>
    <w:rsid w:val="00517341"/>
    <w:rsid w:val="005231C4"/>
    <w:rsid w:val="00523939"/>
    <w:rsid w:val="00525D2E"/>
    <w:rsid w:val="00527D43"/>
    <w:rsid w:val="00534B0F"/>
    <w:rsid w:val="005406BB"/>
    <w:rsid w:val="00551C6F"/>
    <w:rsid w:val="0056595A"/>
    <w:rsid w:val="00570A43"/>
    <w:rsid w:val="00577D03"/>
    <w:rsid w:val="00581895"/>
    <w:rsid w:val="0058262E"/>
    <w:rsid w:val="0059069C"/>
    <w:rsid w:val="00594335"/>
    <w:rsid w:val="005B0E65"/>
    <w:rsid w:val="005B18F4"/>
    <w:rsid w:val="005B6C55"/>
    <w:rsid w:val="005E2214"/>
    <w:rsid w:val="005E5476"/>
    <w:rsid w:val="005E6A47"/>
    <w:rsid w:val="005F6B7B"/>
    <w:rsid w:val="005F7545"/>
    <w:rsid w:val="00614503"/>
    <w:rsid w:val="00614632"/>
    <w:rsid w:val="00616A2F"/>
    <w:rsid w:val="00625826"/>
    <w:rsid w:val="00633056"/>
    <w:rsid w:val="00633E34"/>
    <w:rsid w:val="00646CDE"/>
    <w:rsid w:val="00653300"/>
    <w:rsid w:val="006557A6"/>
    <w:rsid w:val="0066096E"/>
    <w:rsid w:val="006848C5"/>
    <w:rsid w:val="00696622"/>
    <w:rsid w:val="006B1351"/>
    <w:rsid w:val="006B1777"/>
    <w:rsid w:val="006B4C8F"/>
    <w:rsid w:val="006B7AFB"/>
    <w:rsid w:val="006C07A1"/>
    <w:rsid w:val="006C3905"/>
    <w:rsid w:val="006D2DD2"/>
    <w:rsid w:val="006E50D2"/>
    <w:rsid w:val="007118CA"/>
    <w:rsid w:val="00711CA7"/>
    <w:rsid w:val="007134DB"/>
    <w:rsid w:val="00715C4F"/>
    <w:rsid w:val="00725451"/>
    <w:rsid w:val="007377E8"/>
    <w:rsid w:val="0074275B"/>
    <w:rsid w:val="00750DB7"/>
    <w:rsid w:val="007531B2"/>
    <w:rsid w:val="00761022"/>
    <w:rsid w:val="00766A71"/>
    <w:rsid w:val="007753B0"/>
    <w:rsid w:val="00784949"/>
    <w:rsid w:val="00787B28"/>
    <w:rsid w:val="00793206"/>
    <w:rsid w:val="0079358E"/>
    <w:rsid w:val="007A4904"/>
    <w:rsid w:val="007B5AB9"/>
    <w:rsid w:val="007C043A"/>
    <w:rsid w:val="007C076B"/>
    <w:rsid w:val="007E272E"/>
    <w:rsid w:val="007E71FA"/>
    <w:rsid w:val="007F039D"/>
    <w:rsid w:val="007F3CC2"/>
    <w:rsid w:val="007F77CA"/>
    <w:rsid w:val="008115BC"/>
    <w:rsid w:val="0082023F"/>
    <w:rsid w:val="008251C4"/>
    <w:rsid w:val="00841F49"/>
    <w:rsid w:val="00854ABF"/>
    <w:rsid w:val="00883CC1"/>
    <w:rsid w:val="008858DF"/>
    <w:rsid w:val="008917C8"/>
    <w:rsid w:val="0089516F"/>
    <w:rsid w:val="008A04A0"/>
    <w:rsid w:val="008A343C"/>
    <w:rsid w:val="008A361F"/>
    <w:rsid w:val="008A698B"/>
    <w:rsid w:val="008C359E"/>
    <w:rsid w:val="008D79FD"/>
    <w:rsid w:val="008E1A5C"/>
    <w:rsid w:val="008E6FE4"/>
    <w:rsid w:val="008F6A74"/>
    <w:rsid w:val="00902C7A"/>
    <w:rsid w:val="00911F48"/>
    <w:rsid w:val="0091283A"/>
    <w:rsid w:val="0091437D"/>
    <w:rsid w:val="009403FA"/>
    <w:rsid w:val="009448D3"/>
    <w:rsid w:val="00951C94"/>
    <w:rsid w:val="00960403"/>
    <w:rsid w:val="0096375E"/>
    <w:rsid w:val="00976AB6"/>
    <w:rsid w:val="00986AE8"/>
    <w:rsid w:val="00992125"/>
    <w:rsid w:val="0099342B"/>
    <w:rsid w:val="009A767E"/>
    <w:rsid w:val="009B4EBC"/>
    <w:rsid w:val="009B5618"/>
    <w:rsid w:val="009C2B8C"/>
    <w:rsid w:val="009D254D"/>
    <w:rsid w:val="009D3653"/>
    <w:rsid w:val="009D539E"/>
    <w:rsid w:val="009E04E3"/>
    <w:rsid w:val="009E080F"/>
    <w:rsid w:val="009E5ECB"/>
    <w:rsid w:val="009F7AB4"/>
    <w:rsid w:val="00A14A7D"/>
    <w:rsid w:val="00A17591"/>
    <w:rsid w:val="00A206E2"/>
    <w:rsid w:val="00A20CFF"/>
    <w:rsid w:val="00A4155C"/>
    <w:rsid w:val="00A50C8A"/>
    <w:rsid w:val="00A50F89"/>
    <w:rsid w:val="00A62CD6"/>
    <w:rsid w:val="00A67FE9"/>
    <w:rsid w:val="00A80B6F"/>
    <w:rsid w:val="00A82C20"/>
    <w:rsid w:val="00A833E6"/>
    <w:rsid w:val="00A869FD"/>
    <w:rsid w:val="00A907A0"/>
    <w:rsid w:val="00A90BD6"/>
    <w:rsid w:val="00A9560E"/>
    <w:rsid w:val="00AA164C"/>
    <w:rsid w:val="00AA1D81"/>
    <w:rsid w:val="00AA672B"/>
    <w:rsid w:val="00AC30CB"/>
    <w:rsid w:val="00AC43E7"/>
    <w:rsid w:val="00AC5CD9"/>
    <w:rsid w:val="00AC658A"/>
    <w:rsid w:val="00AD537B"/>
    <w:rsid w:val="00AE010A"/>
    <w:rsid w:val="00AF3B3A"/>
    <w:rsid w:val="00AF467F"/>
    <w:rsid w:val="00AF6807"/>
    <w:rsid w:val="00B00201"/>
    <w:rsid w:val="00B12170"/>
    <w:rsid w:val="00B17289"/>
    <w:rsid w:val="00B21965"/>
    <w:rsid w:val="00B22A65"/>
    <w:rsid w:val="00B248A1"/>
    <w:rsid w:val="00B34905"/>
    <w:rsid w:val="00B42FDE"/>
    <w:rsid w:val="00B554AA"/>
    <w:rsid w:val="00B82328"/>
    <w:rsid w:val="00B82CC2"/>
    <w:rsid w:val="00B87BDD"/>
    <w:rsid w:val="00B90227"/>
    <w:rsid w:val="00B90754"/>
    <w:rsid w:val="00B96361"/>
    <w:rsid w:val="00BA68ED"/>
    <w:rsid w:val="00BB081E"/>
    <w:rsid w:val="00BB2F30"/>
    <w:rsid w:val="00BC21C2"/>
    <w:rsid w:val="00BC4385"/>
    <w:rsid w:val="00BD1B22"/>
    <w:rsid w:val="00BD44B9"/>
    <w:rsid w:val="00BD4844"/>
    <w:rsid w:val="00C02ACB"/>
    <w:rsid w:val="00C1567E"/>
    <w:rsid w:val="00C15DD2"/>
    <w:rsid w:val="00C16A5B"/>
    <w:rsid w:val="00C23F7B"/>
    <w:rsid w:val="00C4183F"/>
    <w:rsid w:val="00C50289"/>
    <w:rsid w:val="00C507C6"/>
    <w:rsid w:val="00C530FA"/>
    <w:rsid w:val="00C7375B"/>
    <w:rsid w:val="00C73D35"/>
    <w:rsid w:val="00C74619"/>
    <w:rsid w:val="00C82D9E"/>
    <w:rsid w:val="00C97273"/>
    <w:rsid w:val="00CA6041"/>
    <w:rsid w:val="00CB24CC"/>
    <w:rsid w:val="00CB2ECC"/>
    <w:rsid w:val="00CB6058"/>
    <w:rsid w:val="00CC65F9"/>
    <w:rsid w:val="00CD0F7C"/>
    <w:rsid w:val="00CE5DDE"/>
    <w:rsid w:val="00CF66DF"/>
    <w:rsid w:val="00D013AC"/>
    <w:rsid w:val="00D071C4"/>
    <w:rsid w:val="00D10FC1"/>
    <w:rsid w:val="00D1286C"/>
    <w:rsid w:val="00D31641"/>
    <w:rsid w:val="00D42E87"/>
    <w:rsid w:val="00D47BC7"/>
    <w:rsid w:val="00D7149D"/>
    <w:rsid w:val="00D858A9"/>
    <w:rsid w:val="00D9380E"/>
    <w:rsid w:val="00DA6C2C"/>
    <w:rsid w:val="00DB07F3"/>
    <w:rsid w:val="00DB6508"/>
    <w:rsid w:val="00DC0B6B"/>
    <w:rsid w:val="00DC408A"/>
    <w:rsid w:val="00DC4A6D"/>
    <w:rsid w:val="00DD3A7D"/>
    <w:rsid w:val="00DE0A9C"/>
    <w:rsid w:val="00DE4040"/>
    <w:rsid w:val="00DE427A"/>
    <w:rsid w:val="00DF5EC3"/>
    <w:rsid w:val="00E01BEF"/>
    <w:rsid w:val="00E22258"/>
    <w:rsid w:val="00E325BF"/>
    <w:rsid w:val="00E33794"/>
    <w:rsid w:val="00E339FC"/>
    <w:rsid w:val="00E353DA"/>
    <w:rsid w:val="00E4223E"/>
    <w:rsid w:val="00E42464"/>
    <w:rsid w:val="00E43D99"/>
    <w:rsid w:val="00E51BE0"/>
    <w:rsid w:val="00E522DF"/>
    <w:rsid w:val="00E67645"/>
    <w:rsid w:val="00E734CB"/>
    <w:rsid w:val="00E75EF4"/>
    <w:rsid w:val="00E76FA8"/>
    <w:rsid w:val="00E84051"/>
    <w:rsid w:val="00E84BBA"/>
    <w:rsid w:val="00E92693"/>
    <w:rsid w:val="00E979EC"/>
    <w:rsid w:val="00EA112E"/>
    <w:rsid w:val="00EA63CA"/>
    <w:rsid w:val="00EB3211"/>
    <w:rsid w:val="00EC3712"/>
    <w:rsid w:val="00ED262A"/>
    <w:rsid w:val="00EE0098"/>
    <w:rsid w:val="00F16AB4"/>
    <w:rsid w:val="00F25507"/>
    <w:rsid w:val="00F26A13"/>
    <w:rsid w:val="00F37C7C"/>
    <w:rsid w:val="00F41AF7"/>
    <w:rsid w:val="00F47726"/>
    <w:rsid w:val="00F47E73"/>
    <w:rsid w:val="00F56467"/>
    <w:rsid w:val="00F7068A"/>
    <w:rsid w:val="00F72246"/>
    <w:rsid w:val="00F73E33"/>
    <w:rsid w:val="00F7537E"/>
    <w:rsid w:val="00F84FB0"/>
    <w:rsid w:val="00F96E31"/>
    <w:rsid w:val="00FA09CE"/>
    <w:rsid w:val="00FA3EE1"/>
    <w:rsid w:val="00FA6FD5"/>
    <w:rsid w:val="00FD319B"/>
    <w:rsid w:val="00FE6B2A"/>
    <w:rsid w:val="00FE6F1D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">
    <w:name w:val="Body Text"/>
    <w:basedOn w:val="Normal"/>
    <w:link w:val="BodyTextChar"/>
    <w:uiPriority w:val="99"/>
    <w:rsid w:val="00303897"/>
    <w:pPr>
      <w:spacing w:before="40" w:after="40" w:line="240" w:lineRule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3897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locked/>
    <w:rsid w:val="00CB60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2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B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B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42F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">
    <w:name w:val="Body Text"/>
    <w:basedOn w:val="Normal"/>
    <w:link w:val="BodyTextChar"/>
    <w:uiPriority w:val="99"/>
    <w:rsid w:val="00303897"/>
    <w:pPr>
      <w:spacing w:before="40" w:after="40" w:line="240" w:lineRule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3897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locked/>
    <w:rsid w:val="00CB60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2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B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B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42F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148B-99DF-482F-80D8-E4092149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Lisa Worthington</cp:lastModifiedBy>
  <cp:revision>2</cp:revision>
  <cp:lastPrinted>2020-05-21T16:08:00Z</cp:lastPrinted>
  <dcterms:created xsi:type="dcterms:W3CDTF">2020-07-16T15:44:00Z</dcterms:created>
  <dcterms:modified xsi:type="dcterms:W3CDTF">2020-07-16T15:44:00Z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  <property fmtid="{D5CDD505-2E9C-101B-9397-08002B2CF9AE}" pid="3" name="HR document type">
    <vt:lpwstr>HR template</vt:lpwstr>
  </property>
  <property fmtid="{D5CDD505-2E9C-101B-9397-08002B2CF9AE}" pid="4" name="Search Keywords">
    <vt:lpwstr>TP Job Description template</vt:lpwstr>
  </property>
  <property fmtid="{D5CDD505-2E9C-101B-9397-08002B2CF9AE}" pid="5" name="Review or expiry date">
    <vt:lpwstr>2013-08-07T00:00:00Z</vt:lpwstr>
  </property>
  <property fmtid="{D5CDD505-2E9C-101B-9397-08002B2CF9AE}" pid="6" name="Role profile grade">
    <vt:lpwstr>None</vt:lpwstr>
  </property>
  <property fmtid="{D5CDD505-2E9C-101B-9397-08002B2CF9AE}" pid="7" name="Issue Date (version)">
    <vt:lpwstr>2012-08-07T00:00:00Z</vt:lpwstr>
  </property>
  <property fmtid="{D5CDD505-2E9C-101B-9397-08002B2CF9AE}" pid="8" name="Document type">
    <vt:lpwstr>Resources and info</vt:lpwstr>
  </property>
  <property fmtid="{D5CDD505-2E9C-101B-9397-08002B2CF9AE}" pid="9" name="HR subject">
    <vt:lpwstr>Role profiles</vt:lpwstr>
  </property>
  <property fmtid="{D5CDD505-2E9C-101B-9397-08002B2CF9AE}" pid="10" name="Central Team">
    <vt:lpwstr>HR</vt:lpwstr>
  </property>
  <property fmtid="{D5CDD505-2E9C-101B-9397-08002B2CF9AE}" pid="11" name="Document Description">
    <vt:lpwstr>TP Job Description template</vt:lpwstr>
  </property>
  <property fmtid="{D5CDD505-2E9C-101B-9397-08002B2CF9AE}" pid="12" name="Content Owner">
    <vt:lpwstr>3952;#Katrina Beck</vt:lpwstr>
  </property>
  <property fmtid="{D5CDD505-2E9C-101B-9397-08002B2CF9AE}" pid="13" name="Subject content">
    <vt:lpwstr>;#General;#</vt:lpwstr>
  </property>
</Properties>
</file>